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4C629D" w:rsidR="00F41453" w:rsidP="003F61B4" w:rsidRDefault="00DA7F08" w14:paraId="8ec9b47" w14:textId="8ec9b47">
      <w:pPr>
        <w:jc w:val="center"/>
        <w15:collapsed w:val="false"/>
        <w:rPr>
          <w:rFonts w:ascii="Sylfaen" w:hAnsi="Sylfaen"/>
          <w:b/>
        </w:rPr>
      </w:pPr>
      <w:bookmarkStart w:name="_GoBack" w:id="0"/>
      <w:bookmarkEnd w:id="0"/>
      <w:r w:rsidRPr="004C629D">
        <w:rPr>
          <w:rFonts w:ascii="Sylfaen" w:hAnsi="Sylfaen"/>
          <w:b/>
        </w:rPr>
        <w:t>GLUMINA BANKA</w:t>
      </w:r>
      <w:r w:rsidRPr="004C629D" w:rsidR="005E0358">
        <w:rPr>
          <w:rFonts w:ascii="Sylfaen" w:hAnsi="Sylfaen"/>
          <w:b/>
        </w:rPr>
        <w:t xml:space="preserve"> d.d</w:t>
      </w:r>
      <w:r w:rsidRPr="004C629D" w:rsidR="00667162">
        <w:rPr>
          <w:rFonts w:ascii="Sylfaen" w:hAnsi="Sylfaen"/>
          <w:b/>
        </w:rPr>
        <w:t>.</w:t>
      </w:r>
      <w:r w:rsidRPr="004C629D" w:rsidR="003F61B4">
        <w:rPr>
          <w:rFonts w:ascii="Sylfaen" w:hAnsi="Sylfaen"/>
          <w:b/>
        </w:rPr>
        <w:t xml:space="preserve"> u </w:t>
      </w:r>
      <w:r w:rsidRPr="004C629D">
        <w:rPr>
          <w:rFonts w:ascii="Sylfaen" w:hAnsi="Sylfaen"/>
          <w:b/>
        </w:rPr>
        <w:t>stečaju</w:t>
      </w:r>
    </w:p>
    <w:p w:rsidRPr="004C629D" w:rsidR="00F41453" w:rsidP="003F61B4" w:rsidRDefault="00F47C83">
      <w:pPr>
        <w:jc w:val="center"/>
        <w:rPr>
          <w:rFonts w:ascii="Sylfaen" w:hAnsi="Sylfaen"/>
          <w:b/>
        </w:rPr>
      </w:pPr>
      <w:r w:rsidRPr="004C629D">
        <w:rPr>
          <w:rFonts w:ascii="Sylfaen" w:hAnsi="Sylfaen"/>
          <w:b/>
        </w:rPr>
        <w:t>Andrije Hebranga 11</w:t>
      </w:r>
      <w:r w:rsidRPr="004C629D" w:rsidR="003F61B4">
        <w:rPr>
          <w:rFonts w:ascii="Sylfaen" w:hAnsi="Sylfaen"/>
          <w:b/>
        </w:rPr>
        <w:t>,</w:t>
      </w:r>
      <w:r w:rsidRPr="004C629D" w:rsidR="005E0358">
        <w:rPr>
          <w:rFonts w:ascii="Sylfaen" w:hAnsi="Sylfaen"/>
          <w:b/>
        </w:rPr>
        <w:t xml:space="preserve"> </w:t>
      </w:r>
      <w:r w:rsidRPr="004C629D" w:rsidR="00781EA0">
        <w:rPr>
          <w:rFonts w:ascii="Sylfaen" w:hAnsi="Sylfaen"/>
          <w:b/>
        </w:rPr>
        <w:t>10</w:t>
      </w:r>
      <w:r w:rsidRPr="004C629D" w:rsidR="005E0358">
        <w:rPr>
          <w:rFonts w:ascii="Sylfaen" w:hAnsi="Sylfaen"/>
          <w:b/>
        </w:rPr>
        <w:t xml:space="preserve"> 000 </w:t>
      </w:r>
      <w:r w:rsidRPr="004C629D" w:rsidR="00FE2666">
        <w:rPr>
          <w:rFonts w:ascii="Sylfaen" w:hAnsi="Sylfaen"/>
          <w:b/>
        </w:rPr>
        <w:t>Zagreb</w:t>
      </w:r>
      <w:r w:rsidRPr="004C629D" w:rsidR="005E0358">
        <w:rPr>
          <w:rFonts w:ascii="Sylfaen" w:hAnsi="Sylfaen"/>
          <w:b/>
        </w:rPr>
        <w:t>,</w:t>
      </w:r>
      <w:r w:rsidRPr="004C629D" w:rsidR="003F61B4">
        <w:rPr>
          <w:rFonts w:ascii="Sylfaen" w:hAnsi="Sylfaen"/>
          <w:b/>
        </w:rPr>
        <w:t xml:space="preserve"> </w:t>
      </w:r>
      <w:r w:rsidRPr="004C629D" w:rsidR="00F41453">
        <w:rPr>
          <w:rFonts w:ascii="Sylfaen" w:hAnsi="Sylfaen"/>
          <w:b/>
        </w:rPr>
        <w:t>OIB</w:t>
      </w:r>
      <w:r w:rsidRPr="004C629D" w:rsidR="00E82D10">
        <w:rPr>
          <w:rFonts w:ascii="Sylfaen" w:hAnsi="Sylfaen"/>
          <w:b/>
        </w:rPr>
        <w:t>:</w:t>
      </w:r>
      <w:r w:rsidRPr="004C629D" w:rsidR="00F41453">
        <w:rPr>
          <w:rFonts w:ascii="Sylfaen" w:hAnsi="Sylfaen"/>
          <w:b/>
        </w:rPr>
        <w:t xml:space="preserve"> </w:t>
      </w:r>
      <w:r w:rsidRPr="004C629D" w:rsidR="00781EA0">
        <w:rPr>
          <w:rFonts w:ascii="Sylfaen" w:hAnsi="Sylfaen"/>
          <w:b/>
        </w:rPr>
        <w:t>82806041381</w:t>
      </w:r>
    </w:p>
    <w:p w:rsidRPr="004C629D" w:rsidR="00C82A08" w:rsidP="003F61B4" w:rsidRDefault="003F61B4">
      <w:pPr>
        <w:jc w:val="center"/>
        <w:rPr>
          <w:rFonts w:ascii="Sylfaen" w:hAnsi="Sylfaen"/>
          <w:b/>
        </w:rPr>
      </w:pPr>
      <w:r w:rsidRPr="004C629D">
        <w:rPr>
          <w:rFonts w:ascii="Sylfaen" w:hAnsi="Sylfaen"/>
          <w:b/>
        </w:rPr>
        <w:t xml:space="preserve">zastupano po </w:t>
      </w:r>
      <w:r w:rsidRPr="004C629D" w:rsidR="00781EA0">
        <w:rPr>
          <w:rFonts w:ascii="Sylfaen" w:hAnsi="Sylfaen"/>
          <w:b/>
        </w:rPr>
        <w:t>stečajnoj upraviteljici Anamarii</w:t>
      </w:r>
      <w:r w:rsidRPr="004C629D">
        <w:rPr>
          <w:rFonts w:ascii="Sylfaen" w:hAnsi="Sylfaen"/>
          <w:b/>
        </w:rPr>
        <w:t xml:space="preserve"> Ivanković, </w:t>
      </w:r>
      <w:r w:rsidRPr="004C629D" w:rsidR="00E82D10">
        <w:rPr>
          <w:rFonts w:ascii="Sylfaen" w:hAnsi="Sylfaen"/>
          <w:b/>
        </w:rPr>
        <w:t xml:space="preserve">Britanski trg 10, </w:t>
      </w:r>
      <w:r w:rsidRPr="004C629D" w:rsidR="00C82A08">
        <w:rPr>
          <w:rFonts w:ascii="Sylfaen" w:hAnsi="Sylfaen"/>
          <w:b/>
        </w:rPr>
        <w:t>Zagreb</w:t>
      </w:r>
    </w:p>
    <w:p w:rsidRPr="004C629D" w:rsidR="003F61B4" w:rsidP="003F61B4" w:rsidRDefault="00E916D2">
      <w:pPr>
        <w:pBdr>
          <w:bottom w:val="single" w:color="auto" w:sz="12" w:space="1"/>
        </w:pBdr>
        <w:jc w:val="center"/>
        <w:rPr>
          <w:rFonts w:ascii="Sylfaen" w:hAnsi="Sylfaen"/>
          <w:b/>
        </w:rPr>
      </w:pPr>
      <w:r w:rsidRPr="004C629D">
        <w:rPr>
          <w:rFonts w:ascii="Sylfaen" w:hAnsi="Sylfaen"/>
          <w:b/>
        </w:rPr>
        <w:t>OIB: 26902318451</w:t>
      </w:r>
      <w:r w:rsidRPr="004C629D" w:rsidR="003F61B4">
        <w:rPr>
          <w:rFonts w:ascii="Sylfaen" w:hAnsi="Sylfaen"/>
          <w:b/>
        </w:rPr>
        <w:t xml:space="preserve">, M: 099/505-0000, e-mail: </w:t>
      </w:r>
      <w:hyperlink w:history="true" r:id="rId10">
        <w:r w:rsidRPr="004C629D" w:rsidR="003F61B4">
          <w:rPr>
            <w:rStyle w:val="Hiperveza"/>
            <w:rFonts w:ascii="Sylfaen" w:hAnsi="Sylfaen"/>
            <w:b/>
          </w:rPr>
          <w:t>ivankovic@odvjetnica-ivankovic.hr</w:t>
        </w:r>
      </w:hyperlink>
    </w:p>
    <w:p w:rsidR="00074186" w:rsidP="00954AD1" w:rsidRDefault="00074186">
      <w:pPr>
        <w:jc w:val="center"/>
        <w:rPr>
          <w:rFonts w:ascii="Sylfaen" w:hAnsi="Sylfaen"/>
        </w:rPr>
      </w:pPr>
    </w:p>
    <w:p w:rsidRPr="00951F7D" w:rsidR="00F9273B" w:rsidP="00954AD1" w:rsidRDefault="007435CB">
      <w:pPr>
        <w:jc w:val="center"/>
        <w:rPr>
          <w:rFonts w:ascii="Sylfaen" w:hAnsi="Sylfaen"/>
          <w:b/>
          <w:u w:val="single"/>
        </w:rPr>
      </w:pPr>
      <w:r>
        <w:rPr>
          <w:rFonts w:ascii="Sylfaen" w:hAnsi="Sylfaen"/>
          <w:b/>
          <w:u w:val="single"/>
        </w:rPr>
        <w:t>Obrazac 18</w:t>
      </w:r>
      <w:r w:rsidRPr="00951F7D" w:rsidR="00220243">
        <w:rPr>
          <w:rFonts w:ascii="Sylfaen" w:hAnsi="Sylfaen"/>
          <w:b/>
          <w:u w:val="single"/>
        </w:rPr>
        <w:t xml:space="preserve">   </w:t>
      </w:r>
    </w:p>
    <w:p w:rsidRPr="004C629D" w:rsidR="00F9273B" w:rsidP="00F9273B" w:rsidRDefault="00F9273B">
      <w:pPr>
        <w:jc w:val="both"/>
        <w:rPr>
          <w:rFonts w:ascii="Sylfaen" w:hAnsi="Sylfaen"/>
          <w:b/>
        </w:rPr>
      </w:pPr>
      <w:r w:rsidRPr="004C629D">
        <w:rPr>
          <w:rFonts w:ascii="Sylfaen" w:hAnsi="Sylfaen"/>
          <w:b/>
        </w:rPr>
        <w:t>TRGOVAČKI SUD U ZAGREBU</w:t>
      </w:r>
    </w:p>
    <w:p w:rsidRPr="004C629D" w:rsidR="00F9273B" w:rsidP="00F9273B" w:rsidRDefault="00F9273B">
      <w:pPr>
        <w:jc w:val="both"/>
        <w:rPr>
          <w:rFonts w:ascii="Sylfaen" w:hAnsi="Sylfaen"/>
          <w:b/>
        </w:rPr>
      </w:pPr>
      <w:r w:rsidRPr="004C629D">
        <w:rPr>
          <w:rFonts w:ascii="Sylfaen" w:hAnsi="Sylfaen"/>
          <w:b/>
        </w:rPr>
        <w:t>STALNA SLUŽBA</w:t>
      </w:r>
    </w:p>
    <w:p w:rsidRPr="004C629D" w:rsidR="00F9273B" w:rsidP="00F9273B" w:rsidRDefault="00F9273B">
      <w:pPr>
        <w:jc w:val="both"/>
        <w:rPr>
          <w:rFonts w:ascii="Sylfaen" w:hAnsi="Sylfaen"/>
          <w:b/>
        </w:rPr>
      </w:pPr>
      <w:r w:rsidRPr="004C629D">
        <w:rPr>
          <w:rFonts w:ascii="Sylfaen" w:hAnsi="Sylfaen"/>
          <w:b/>
        </w:rPr>
        <w:t>Poslovni broj spisa St-83/99</w:t>
      </w:r>
    </w:p>
    <w:p w:rsidR="00873608" w:rsidP="00F9273B" w:rsidRDefault="00F9273B">
      <w:pPr>
        <w:ind w:left="2160" w:hanging="2160"/>
        <w:jc w:val="both"/>
        <w:rPr>
          <w:rFonts w:ascii="Sylfaen" w:hAnsi="Sylfaen"/>
          <w:b/>
        </w:rPr>
      </w:pPr>
      <w:r w:rsidRPr="004C629D">
        <w:rPr>
          <w:rFonts w:ascii="Sylfaen" w:hAnsi="Sylfaen"/>
          <w:b/>
        </w:rPr>
        <w:t xml:space="preserve">Stečajni dužnik: GLUMINA BANKA </w:t>
      </w:r>
      <w:r w:rsidRPr="004C629D" w:rsidR="0045772B">
        <w:rPr>
          <w:rFonts w:ascii="Sylfaen" w:hAnsi="Sylfaen"/>
          <w:b/>
        </w:rPr>
        <w:t>DD</w:t>
      </w:r>
      <w:r w:rsidRPr="004C629D">
        <w:rPr>
          <w:rFonts w:ascii="Sylfaen" w:hAnsi="Sylfaen"/>
          <w:b/>
        </w:rPr>
        <w:t xml:space="preserve">. u stečaju iz Zagreba, </w:t>
      </w:r>
      <w:r w:rsidR="00873608">
        <w:rPr>
          <w:rFonts w:ascii="Sylfaen" w:hAnsi="Sylfaen"/>
          <w:b/>
        </w:rPr>
        <w:t>Andrije Hebranga 11</w:t>
      </w:r>
      <w:r w:rsidRPr="004C629D">
        <w:rPr>
          <w:rFonts w:ascii="Sylfaen" w:hAnsi="Sylfaen"/>
          <w:b/>
        </w:rPr>
        <w:t xml:space="preserve"> </w:t>
      </w:r>
    </w:p>
    <w:p w:rsidR="00873608" w:rsidP="00873608" w:rsidRDefault="00F9273B">
      <w:pPr>
        <w:ind w:left="2160" w:hanging="2160"/>
        <w:jc w:val="both"/>
        <w:rPr>
          <w:rFonts w:ascii="Sylfaen" w:hAnsi="Sylfaen"/>
          <w:b/>
        </w:rPr>
      </w:pPr>
      <w:r w:rsidRPr="004C629D">
        <w:rPr>
          <w:rFonts w:ascii="Sylfaen" w:hAnsi="Sylfaen"/>
          <w:b/>
        </w:rPr>
        <w:t xml:space="preserve">OIB: 82806041381,zastupano po stečajnoj upraviteljici Anamarii Ivanković iz Zagreba, </w:t>
      </w:r>
    </w:p>
    <w:p w:rsidR="00D17037" w:rsidP="00873608" w:rsidRDefault="00F9273B">
      <w:pPr>
        <w:ind w:left="2160" w:hanging="2160"/>
        <w:jc w:val="both"/>
        <w:rPr>
          <w:rFonts w:ascii="Sylfaen" w:hAnsi="Sylfaen"/>
        </w:rPr>
      </w:pPr>
      <w:r w:rsidRPr="004C629D">
        <w:rPr>
          <w:rFonts w:ascii="Sylfaen" w:hAnsi="Sylfaen"/>
          <w:b/>
        </w:rPr>
        <w:t>Britanski trg 10, OIB: 26902318451</w:t>
      </w:r>
      <w:r w:rsidRPr="004C629D">
        <w:rPr>
          <w:rFonts w:ascii="Sylfaen" w:hAnsi="Sylfaen"/>
        </w:rPr>
        <w:t xml:space="preserve">              </w:t>
      </w:r>
    </w:p>
    <w:p w:rsidR="00D17037" w:rsidP="00873608" w:rsidRDefault="00D17037">
      <w:pPr>
        <w:ind w:left="2160" w:hanging="2160"/>
        <w:jc w:val="both"/>
        <w:rPr>
          <w:rFonts w:ascii="Sylfaen" w:hAnsi="Sylfaen"/>
        </w:rPr>
      </w:pPr>
    </w:p>
    <w:p w:rsidR="00D17037" w:rsidP="00D17037" w:rsidRDefault="00A02EB1">
      <w:pPr>
        <w:ind w:left="2160" w:hanging="2160"/>
        <w:jc w:val="center"/>
        <w:rPr>
          <w:rFonts w:ascii="Sylfaen" w:hAnsi="Sylfaen"/>
        </w:rPr>
      </w:pPr>
      <w:r>
        <w:rPr>
          <w:rFonts w:ascii="Sylfaen" w:hAnsi="Sylfaen"/>
        </w:rPr>
        <w:t>IZVJEŠĆE</w:t>
      </w:r>
      <w:r w:rsidR="00D17037">
        <w:rPr>
          <w:rFonts w:ascii="Sylfaen" w:hAnsi="Sylfaen"/>
        </w:rPr>
        <w:t xml:space="preserve"> STEČAJNE UPRAVITELJICE</w:t>
      </w:r>
    </w:p>
    <w:p w:rsidR="006223E1" w:rsidP="0070787F" w:rsidRDefault="00D17037">
      <w:pPr>
        <w:ind w:left="2160" w:hanging="2160"/>
        <w:jc w:val="center"/>
        <w:rPr>
          <w:rFonts w:ascii="Sylfaen" w:hAnsi="Sylfaen"/>
        </w:rPr>
      </w:pPr>
      <w:r>
        <w:rPr>
          <w:rFonts w:ascii="Sylfaen" w:hAnsi="Sylfaen"/>
        </w:rPr>
        <w:t>STEČAJNOG DUŽNIKA</w:t>
      </w:r>
      <w:r w:rsidRPr="004C629D" w:rsidR="00F9273B">
        <w:rPr>
          <w:rFonts w:ascii="Sylfaen" w:hAnsi="Sylfaen"/>
        </w:rPr>
        <w:t xml:space="preserve"> </w:t>
      </w:r>
      <w:r>
        <w:rPr>
          <w:rFonts w:ascii="Sylfaen" w:hAnsi="Sylfaen"/>
        </w:rPr>
        <w:t>GLUMINA BANKA d. d. u stečaju</w:t>
      </w:r>
      <w:r w:rsidR="001B57A2">
        <w:rPr>
          <w:rFonts w:ascii="Sylfaen" w:hAnsi="Sylfaen"/>
        </w:rPr>
        <w:t>,</w:t>
      </w:r>
      <w:r>
        <w:rPr>
          <w:rFonts w:ascii="Sylfaen" w:hAnsi="Sylfaen"/>
        </w:rPr>
        <w:t xml:space="preserve"> Zagreb</w:t>
      </w:r>
    </w:p>
    <w:p w:rsidR="00CC7E15" w:rsidP="0070787F" w:rsidRDefault="00CC7E15">
      <w:pPr>
        <w:ind w:left="2160" w:hanging="2160"/>
        <w:jc w:val="center"/>
        <w:rPr>
          <w:rFonts w:ascii="Sylfaen" w:hAnsi="Sylfaen"/>
        </w:rPr>
      </w:pPr>
      <w:r>
        <w:rPr>
          <w:rFonts w:ascii="Sylfaen" w:hAnsi="Sylfaen"/>
        </w:rPr>
        <w:t xml:space="preserve">s PRIJEDLOGOM ZA SAZIVANJE </w:t>
      </w:r>
      <w:r w:rsidR="007435CB">
        <w:rPr>
          <w:rFonts w:ascii="Sylfaen" w:hAnsi="Sylfaen"/>
        </w:rPr>
        <w:t>ODBORA</w:t>
      </w:r>
      <w:r>
        <w:rPr>
          <w:rFonts w:ascii="Sylfaen" w:hAnsi="Sylfaen"/>
        </w:rPr>
        <w:t xml:space="preserve"> VJEROVNIKA</w:t>
      </w:r>
    </w:p>
    <w:p w:rsidR="0070787F" w:rsidP="0070787F" w:rsidRDefault="0070787F">
      <w:pPr>
        <w:ind w:left="2160" w:hanging="2160"/>
        <w:jc w:val="center"/>
        <w:rPr>
          <w:rFonts w:ascii="Sylfaen" w:hAnsi="Sylfaen"/>
        </w:rPr>
      </w:pPr>
    </w:p>
    <w:p w:rsidR="00D17037" w:rsidP="00D17037" w:rsidRDefault="006223E1">
      <w:pPr>
        <w:ind w:left="2160" w:hanging="2160"/>
        <w:rPr>
          <w:rFonts w:ascii="Sylfaen" w:hAnsi="Sylfaen"/>
        </w:rPr>
      </w:pPr>
      <w:r>
        <w:rPr>
          <w:rFonts w:ascii="Sylfaen" w:hAnsi="Sylfaen"/>
        </w:rPr>
        <w:tab/>
      </w:r>
      <w:r>
        <w:rPr>
          <w:rFonts w:ascii="Sylfaen" w:hAnsi="Sylfaen"/>
        </w:rPr>
        <w:tab/>
      </w:r>
      <w:r>
        <w:rPr>
          <w:rFonts w:ascii="Sylfaen" w:hAnsi="Sylfaen"/>
        </w:rPr>
        <w:tab/>
      </w:r>
      <w:r>
        <w:rPr>
          <w:rFonts w:ascii="Sylfaen" w:hAnsi="Sylfaen"/>
        </w:rPr>
        <w:tab/>
      </w:r>
      <w:r>
        <w:rPr>
          <w:rFonts w:ascii="Sylfaen" w:hAnsi="Sylfaen"/>
        </w:rPr>
        <w:tab/>
      </w:r>
      <w:r>
        <w:rPr>
          <w:rFonts w:ascii="Sylfaen" w:hAnsi="Sylfaen"/>
        </w:rPr>
        <w:tab/>
      </w:r>
      <w:r>
        <w:rPr>
          <w:rFonts w:ascii="Sylfaen" w:hAnsi="Sylfaen"/>
        </w:rPr>
        <w:tab/>
      </w:r>
      <w:r>
        <w:rPr>
          <w:rFonts w:ascii="Sylfaen" w:hAnsi="Sylfaen"/>
        </w:rPr>
        <w:tab/>
      </w:r>
      <w:r>
        <w:rPr>
          <w:rFonts w:ascii="Sylfaen" w:hAnsi="Sylfaen"/>
        </w:rPr>
        <w:tab/>
        <w:t>1x, prilozi</w:t>
      </w:r>
    </w:p>
    <w:p w:rsidR="00F579E2" w:rsidP="00F579E2" w:rsidRDefault="006223E1">
      <w:pPr>
        <w:pBdr>
          <w:bottom w:val="single" w:color="auto" w:sz="12" w:space="1"/>
        </w:pBdr>
        <w:jc w:val="center"/>
        <w:rPr>
          <w:rFonts w:ascii="Sylfaen" w:hAnsi="Sylfaen"/>
          <w:b/>
          <w:sz w:val="28"/>
          <w:szCs w:val="28"/>
        </w:rPr>
      </w:pPr>
      <w:r>
        <w:rPr>
          <w:rFonts w:ascii="Sylfaen" w:hAnsi="Sylfaen"/>
          <w:b/>
          <w:sz w:val="28"/>
          <w:szCs w:val="28"/>
        </w:rPr>
        <w:tab/>
        <w:t xml:space="preserve">                            </w:t>
      </w:r>
    </w:p>
    <w:p w:rsidR="00954AD1" w:rsidP="004930B0" w:rsidRDefault="00F9273B">
      <w:pPr>
        <w:jc w:val="both"/>
        <w:rPr>
          <w:rFonts w:ascii="Sylfaen" w:hAnsi="Sylfaen"/>
        </w:rPr>
      </w:pPr>
      <w:r w:rsidRPr="000E75F3">
        <w:rPr>
          <w:rFonts w:ascii="Sylfaen" w:hAnsi="Sylfaen"/>
          <w:color w:val="FF0000"/>
        </w:rPr>
        <w:t xml:space="preserve">                                                                   </w:t>
      </w:r>
      <w:r w:rsidRPr="004C629D">
        <w:rPr>
          <w:rFonts w:ascii="Sylfaen" w:hAnsi="Sylfaen"/>
        </w:rPr>
        <w:tab/>
      </w:r>
    </w:p>
    <w:p w:rsidR="00954AD1" w:rsidP="00954AD1" w:rsidRDefault="00954AD1">
      <w:pPr>
        <w:jc w:val="both"/>
        <w:rPr>
          <w:rFonts w:ascii="Sylfaen" w:hAnsi="Sylfaen"/>
        </w:rPr>
      </w:pPr>
      <w:r>
        <w:rPr>
          <w:rFonts w:ascii="Sylfaen" w:hAnsi="Sylfaen"/>
        </w:rPr>
        <w:t xml:space="preserve">Ad 1/ </w:t>
      </w:r>
      <w:r w:rsidRPr="004C629D">
        <w:rPr>
          <w:rFonts w:ascii="Sylfaen" w:hAnsi="Sylfaen"/>
        </w:rPr>
        <w:t xml:space="preserve">Rješenjem </w:t>
      </w:r>
      <w:r w:rsidR="007435CB">
        <w:rPr>
          <w:rFonts w:ascii="Sylfaen" w:hAnsi="Sylfaen"/>
        </w:rPr>
        <w:t>Trgovačkog suda u Zagrebu, posl</w:t>
      </w:r>
      <w:r w:rsidRPr="004C629D">
        <w:rPr>
          <w:rFonts w:ascii="Sylfaen" w:hAnsi="Sylfaen"/>
        </w:rPr>
        <w:t xml:space="preserve">. br. St-83/99 od dana 08.12.2017. god. u stečajnom postupku nad stečajnim dužnikom GLUMINA BANKA </w:t>
      </w:r>
      <w:r>
        <w:rPr>
          <w:rFonts w:ascii="Sylfaen" w:hAnsi="Sylfaen"/>
        </w:rPr>
        <w:t>d.d</w:t>
      </w:r>
      <w:r w:rsidRPr="004C629D">
        <w:rPr>
          <w:rFonts w:ascii="Sylfaen" w:hAnsi="Sylfaen"/>
        </w:rPr>
        <w:t xml:space="preserve">. u stečaju iz Zagreba s danom 08.12.2017. god. razriješen je dužnosti raniji stečajni upravitelj Pero Hrkač, Zagreb, te je za novog stečajnog upravitelja imenovana Anamaria Ivanković, Britanski trg 10, OIB: 26902318451. </w:t>
      </w:r>
    </w:p>
    <w:p w:rsidR="00954AD1" w:rsidP="00954AD1" w:rsidRDefault="00954AD1">
      <w:pPr>
        <w:jc w:val="both"/>
        <w:rPr>
          <w:rFonts w:ascii="Sylfaen" w:hAnsi="Sylfaen"/>
        </w:rPr>
      </w:pPr>
    </w:p>
    <w:p w:rsidR="00694AD3" w:rsidP="00954AD1" w:rsidRDefault="00954AD1">
      <w:pPr>
        <w:jc w:val="both"/>
        <w:rPr>
          <w:rFonts w:ascii="Sylfaen" w:hAnsi="Sylfaen"/>
        </w:rPr>
      </w:pPr>
      <w:r>
        <w:rPr>
          <w:rFonts w:ascii="Sylfaen" w:hAnsi="Sylfaen"/>
        </w:rPr>
        <w:t>Ad 2/</w:t>
      </w:r>
      <w:r w:rsidRPr="00B2235B">
        <w:rPr>
          <w:rFonts w:ascii="Sylfaen" w:hAnsi="Sylfaen"/>
        </w:rPr>
        <w:t xml:space="preserve"> </w:t>
      </w:r>
      <w:r w:rsidR="003D1871">
        <w:rPr>
          <w:rFonts w:ascii="Sylfaen" w:hAnsi="Sylfaen"/>
        </w:rPr>
        <w:t xml:space="preserve">Skreće se pozornost da je arhiva stečajnog dužnika kao i informatička oprema koja je bila u uporabi do otvaranja stečaja te djelomično i uredski inventar, sve pohranjeno u nekretnini u vlasništvu stečajnog dužnika nalazeća u Laduču, a za koju nekretninu je u tijeku potpisivanje Ugovora o kupoprodaji. Radi navedenoga u tijeku je zbrinjavanje arhivske građe i kojem smjeru je sklopljen ugovor o djelu s ranijim djelatnikom stečajnog dužnika Josipom Hećimović iz Zagreba sa obvezom </w:t>
      </w:r>
      <w:r w:rsidR="00694AD3">
        <w:rPr>
          <w:rFonts w:ascii="Sylfaen" w:hAnsi="Sylfaen"/>
        </w:rPr>
        <w:t>izlučenja arhivske građe nastale do 30.04.2009. god. te popisom građe za uništenje sukladno zakonskim propisima kojim se propisuje obveza čuvanja dokumentacije, organizaciju otpreme izlučne građe za uništenje i ekološko zbrinjavanje, zatim izlučenje i zbrinjavanje dokumentacije za čuv</w:t>
      </w:r>
      <w:r w:rsidR="00813E64">
        <w:rPr>
          <w:rFonts w:ascii="Sylfaen" w:hAnsi="Sylfaen"/>
        </w:rPr>
        <w:t>anje (izvodi, tražbine stečajnog</w:t>
      </w:r>
      <w:r w:rsidR="00694AD3">
        <w:rPr>
          <w:rFonts w:ascii="Sylfaen" w:hAnsi="Sylfaen"/>
        </w:rPr>
        <w:t xml:space="preserve"> vjerovnika te predmeti po neotplaćenim kreditima), organizacija otpreme uredskog inventara dopremljenog iz poslovnica koja danas, nakon proteka roka gotovo 30 godina od nabavke, dotrajalosti i oštečenosti nema nik</w:t>
      </w:r>
      <w:r w:rsidR="007435CB">
        <w:rPr>
          <w:rFonts w:ascii="Sylfaen" w:hAnsi="Sylfaen"/>
        </w:rPr>
        <w:t>a</w:t>
      </w:r>
      <w:r w:rsidR="00694AD3">
        <w:rPr>
          <w:rFonts w:ascii="Sylfaen" w:hAnsi="Sylfaen"/>
        </w:rPr>
        <w:t>kovu tržišnu vrijednost</w:t>
      </w:r>
      <w:r w:rsidR="00813E64">
        <w:rPr>
          <w:rFonts w:ascii="Sylfaen" w:hAnsi="Sylfaen"/>
        </w:rPr>
        <w:t>,</w:t>
      </w:r>
      <w:r w:rsidR="00694AD3">
        <w:rPr>
          <w:rFonts w:ascii="Sylfaen" w:hAnsi="Sylfaen"/>
        </w:rPr>
        <w:t xml:space="preserve"> radi davanja na reciklažu kao i organizacija sve informatičke i električne (zastarjele) opreme i predaja iste na reciklažu.</w:t>
      </w:r>
    </w:p>
    <w:p w:rsidR="00694AD3" w:rsidP="00954AD1" w:rsidRDefault="00694AD3">
      <w:pPr>
        <w:jc w:val="both"/>
        <w:rPr>
          <w:rFonts w:ascii="Sylfaen" w:hAnsi="Sylfaen"/>
        </w:rPr>
      </w:pPr>
    </w:p>
    <w:p w:rsidR="00954AD1" w:rsidP="004930B0" w:rsidRDefault="00694AD3">
      <w:pPr>
        <w:jc w:val="both"/>
        <w:rPr>
          <w:rFonts w:ascii="Sylfaen" w:hAnsi="Sylfaen"/>
        </w:rPr>
      </w:pPr>
      <w:r>
        <w:rPr>
          <w:rFonts w:ascii="Sylfaen" w:hAnsi="Sylfaen"/>
        </w:rPr>
        <w:lastRenderedPageBreak/>
        <w:t xml:space="preserve"> </w:t>
      </w:r>
    </w:p>
    <w:p w:rsidRPr="004C629D" w:rsidR="00954AD1" w:rsidP="00954AD1" w:rsidRDefault="00954AD1">
      <w:pPr>
        <w:jc w:val="both"/>
        <w:rPr>
          <w:rFonts w:ascii="Sylfaen" w:hAnsi="Sylfaen"/>
          <w:u w:val="single"/>
        </w:rPr>
      </w:pPr>
      <w:r w:rsidRPr="004C629D">
        <w:rPr>
          <w:rFonts w:ascii="Sylfaen" w:hAnsi="Sylfaen"/>
          <w:u w:val="single"/>
        </w:rPr>
        <w:t>Popis postupaka pred sudovima i drugim tijelima</w:t>
      </w:r>
    </w:p>
    <w:p w:rsidRPr="004C629D" w:rsidR="00954AD1" w:rsidP="00954AD1" w:rsidRDefault="00954AD1">
      <w:pPr>
        <w:jc w:val="both"/>
        <w:rPr>
          <w:rFonts w:ascii="Sylfaen" w:hAnsi="Sylfaen"/>
          <w:u w:val="single"/>
        </w:rPr>
      </w:pPr>
    </w:p>
    <w:p w:rsidRPr="004C629D" w:rsidR="00954AD1" w:rsidP="00954AD1" w:rsidRDefault="00694AD3">
      <w:pPr>
        <w:jc w:val="both"/>
        <w:rPr>
          <w:rFonts w:ascii="Sylfaen" w:hAnsi="Sylfaen"/>
        </w:rPr>
      </w:pPr>
      <w:r>
        <w:rPr>
          <w:rFonts w:ascii="Sylfaen" w:hAnsi="Sylfaen"/>
        </w:rPr>
        <w:t>U ranijim izvješćima</w:t>
      </w:r>
      <w:r w:rsidRPr="004C629D" w:rsidR="00954AD1">
        <w:rPr>
          <w:rFonts w:ascii="Sylfaen" w:hAnsi="Sylfaen"/>
        </w:rPr>
        <w:t xml:space="preserve"> stečajne upraviteljice naznačeni su parnični postupci na tužbu ili protiv stečajnog dužnika prema izvještajima odvjetnika koji zastupaju stečajnog dužnika. Navedeni postupci i dalje su u tijeku, a po pravomoćnom okončanju istih, za slučaj da naplata ne uslijedi mirnim putem, pokreću se postupci </w:t>
      </w:r>
      <w:r w:rsidR="00954AD1">
        <w:rPr>
          <w:rFonts w:ascii="Sylfaen" w:hAnsi="Sylfaen"/>
        </w:rPr>
        <w:t>prisilne</w:t>
      </w:r>
      <w:r w:rsidRPr="004C629D" w:rsidR="00954AD1">
        <w:rPr>
          <w:rFonts w:ascii="Sylfaen" w:hAnsi="Sylfaen"/>
        </w:rPr>
        <w:t xml:space="preserve"> naplate. </w:t>
      </w:r>
    </w:p>
    <w:p w:rsidR="00954AD1" w:rsidP="00954AD1" w:rsidRDefault="00954AD1">
      <w:pPr>
        <w:jc w:val="both"/>
        <w:rPr>
          <w:rFonts w:ascii="Sylfaen" w:hAnsi="Sylfaen"/>
          <w:color w:val="FF0000"/>
        </w:rPr>
      </w:pPr>
    </w:p>
    <w:p w:rsidRPr="003C23CD" w:rsidR="00954AD1" w:rsidP="00954AD1" w:rsidRDefault="00954AD1">
      <w:pPr>
        <w:jc w:val="both"/>
        <w:rPr>
          <w:rFonts w:ascii="Sylfaen" w:hAnsi="Sylfaen"/>
        </w:rPr>
      </w:pPr>
      <w:r w:rsidRPr="003C23CD">
        <w:rPr>
          <w:rFonts w:ascii="Sylfaen" w:hAnsi="Sylfaen"/>
        </w:rPr>
        <w:t>U nastavku se iznose promjene glede sporova veće vrijednosti</w:t>
      </w:r>
      <w:r w:rsidR="00D67B33">
        <w:rPr>
          <w:rFonts w:ascii="Sylfaen" w:hAnsi="Sylfaen"/>
        </w:rPr>
        <w:t xml:space="preserve"> spora </w:t>
      </w:r>
      <w:r w:rsidRPr="003C23CD">
        <w:rPr>
          <w:rFonts w:ascii="Sylfaen" w:hAnsi="Sylfaen"/>
        </w:rPr>
        <w:t xml:space="preserve">u odnosu na </w:t>
      </w:r>
      <w:r w:rsidR="00D67B33">
        <w:rPr>
          <w:rFonts w:ascii="Sylfaen" w:hAnsi="Sylfaen"/>
        </w:rPr>
        <w:t>ranija</w:t>
      </w:r>
      <w:r w:rsidR="000249E3">
        <w:rPr>
          <w:rFonts w:ascii="Sylfaen" w:hAnsi="Sylfaen"/>
        </w:rPr>
        <w:t xml:space="preserve"> izvješća</w:t>
      </w:r>
      <w:r w:rsidRPr="003C23CD">
        <w:rPr>
          <w:rFonts w:ascii="Sylfaen" w:hAnsi="Sylfaen"/>
        </w:rPr>
        <w:t>:</w:t>
      </w:r>
    </w:p>
    <w:p w:rsidR="00954AD1" w:rsidP="004930B0" w:rsidRDefault="00954AD1">
      <w:pPr>
        <w:jc w:val="both"/>
        <w:rPr>
          <w:rFonts w:ascii="Sylfaen" w:hAnsi="Sylfaen"/>
        </w:rPr>
      </w:pPr>
    </w:p>
    <w:p w:rsidRPr="00D21FF2" w:rsidR="002E43D0" w:rsidP="002E43D0" w:rsidRDefault="002E43D0">
      <w:pPr>
        <w:jc w:val="both"/>
        <w:rPr>
          <w:rFonts w:ascii="Sylfaen" w:hAnsi="Sylfaen"/>
          <w:u w:val="single"/>
        </w:rPr>
      </w:pPr>
      <w:r w:rsidRPr="00D21FF2">
        <w:rPr>
          <w:rFonts w:ascii="Sylfaen" w:hAnsi="Sylfaen"/>
          <w:u w:val="single"/>
        </w:rPr>
        <w:t>1. Predmet: GLUMINA BANKA d.d. u stečaju c/a ANTE KLJAIĆ iz Zagreba, Hrelička 53, OIB: 82910953723</w:t>
      </w:r>
      <w:r w:rsidRPr="00D21FF2">
        <w:rPr>
          <w:rFonts w:ascii="Sylfaen" w:hAnsi="Sylfaen"/>
        </w:rPr>
        <w:t xml:space="preserve">, a koji se vodio pred Trgovačkim sudom u Zagrebu pod brojem P-3855/2007, </w:t>
      </w:r>
      <w:r w:rsidRPr="00D21FF2">
        <w:rPr>
          <w:rFonts w:ascii="Sylfaen" w:hAnsi="Sylfaen"/>
          <w:color w:val="000000"/>
        </w:rPr>
        <w:t xml:space="preserve">VPS: </w:t>
      </w:r>
      <w:r w:rsidRPr="00D21FF2">
        <w:rPr>
          <w:rFonts w:ascii="Sylfaen" w:hAnsi="Sylfaen"/>
        </w:rPr>
        <w:t>43.185.166,96 kn</w:t>
      </w:r>
    </w:p>
    <w:p w:rsidRPr="00D21FF2" w:rsidR="002E43D0" w:rsidP="002E43D0" w:rsidRDefault="002E43D0">
      <w:pPr>
        <w:rPr>
          <w:rFonts w:ascii="Sylfaen" w:hAnsi="Sylfaen"/>
          <w:u w:val="single"/>
        </w:rPr>
      </w:pPr>
    </w:p>
    <w:p w:rsidRPr="00D21FF2" w:rsidR="002E43D0" w:rsidP="002E43D0" w:rsidRDefault="002E43D0">
      <w:pPr>
        <w:jc w:val="both"/>
        <w:rPr>
          <w:rFonts w:ascii="Sylfaen" w:hAnsi="Sylfaen"/>
        </w:rPr>
      </w:pPr>
      <w:r w:rsidRPr="00D21FF2">
        <w:rPr>
          <w:rFonts w:ascii="Sylfaen" w:hAnsi="Sylfaen"/>
        </w:rPr>
        <w:t>Presudom i rješenjem Visokog trgovačkog suda Republike Hrvatske posl. br. Pž-389/2017-2 od 10. rujna 2019. g.</w:t>
      </w:r>
      <w:r w:rsidR="00D21FF2">
        <w:rPr>
          <w:rFonts w:ascii="Sylfaen" w:hAnsi="Sylfaen"/>
        </w:rPr>
        <w:t xml:space="preserve"> odbijena</w:t>
      </w:r>
      <w:r w:rsidRPr="00D21FF2">
        <w:rPr>
          <w:rFonts w:ascii="Sylfaen" w:hAnsi="Sylfaen"/>
        </w:rPr>
        <w:t xml:space="preserve"> </w:t>
      </w:r>
      <w:r w:rsidR="00D21FF2">
        <w:rPr>
          <w:rFonts w:ascii="Sylfaen" w:hAnsi="Sylfaen"/>
        </w:rPr>
        <w:t>je</w:t>
      </w:r>
      <w:r w:rsidRPr="00D21FF2">
        <w:rPr>
          <w:rFonts w:ascii="Sylfaen" w:hAnsi="Sylfaen"/>
        </w:rPr>
        <w:t xml:space="preserve"> ka</w:t>
      </w:r>
      <w:r w:rsidR="00D21FF2">
        <w:rPr>
          <w:rFonts w:ascii="Sylfaen" w:hAnsi="Sylfaen"/>
        </w:rPr>
        <w:t>o neosnovana tužiteljeva žalba te</w:t>
      </w:r>
      <w:r w:rsidRPr="00D21FF2">
        <w:rPr>
          <w:rFonts w:ascii="Sylfaen" w:hAnsi="Sylfaen"/>
        </w:rPr>
        <w:t xml:space="preserve"> </w:t>
      </w:r>
      <w:r w:rsidR="00D21FF2">
        <w:rPr>
          <w:rFonts w:ascii="Sylfaen" w:hAnsi="Sylfaen"/>
        </w:rPr>
        <w:t>potvrđena</w:t>
      </w:r>
      <w:r w:rsidRPr="00D21FF2">
        <w:rPr>
          <w:rFonts w:ascii="Sylfaen" w:hAnsi="Sylfaen"/>
        </w:rPr>
        <w:t xml:space="preserve"> presuda Trgovačkog suda u Zagrebu poslovni broj P-3855/2007 od 2. rujna 2016. g. (kojom je presudom zahtjev tužitelja o</w:t>
      </w:r>
      <w:r w:rsidR="007435CB">
        <w:rPr>
          <w:rFonts w:ascii="Sylfaen" w:hAnsi="Sylfaen"/>
        </w:rPr>
        <w:t>d</w:t>
      </w:r>
      <w:r w:rsidRPr="00D21FF2">
        <w:rPr>
          <w:rFonts w:ascii="Sylfaen" w:hAnsi="Sylfaen"/>
        </w:rPr>
        <w:t>bijen), dok se rješenjem djelomično odbijaju, a djelomično uvažavaju žalbe tužitelja</w:t>
      </w:r>
      <w:r w:rsidRPr="00D21FF2" w:rsidR="00D21FF2">
        <w:rPr>
          <w:rFonts w:ascii="Sylfaen" w:hAnsi="Sylfaen"/>
        </w:rPr>
        <w:t xml:space="preserve"> i tuženika u odnosu na trošak, na način da je stečajni dužnik kao tužitelj dužan naknaditi tuženiku trošak parničnog postupka u iznosu od 1.001.500,00 kn. </w:t>
      </w:r>
    </w:p>
    <w:p w:rsidRPr="00D21FF2" w:rsidR="002E43D0" w:rsidP="00954AD1" w:rsidRDefault="002E43D0">
      <w:pPr>
        <w:jc w:val="both"/>
        <w:rPr>
          <w:rFonts w:ascii="Sylfaen" w:hAnsi="Sylfaen"/>
          <w:u w:val="single"/>
        </w:rPr>
      </w:pPr>
    </w:p>
    <w:p w:rsidRPr="00D21FF2" w:rsidR="002E43D0" w:rsidP="002E43D0" w:rsidRDefault="002E43D0">
      <w:pPr>
        <w:rPr>
          <w:rFonts w:ascii="Sylfaen" w:hAnsi="Sylfaen"/>
          <w:color w:val="FF0000"/>
        </w:rPr>
      </w:pPr>
      <w:r w:rsidRPr="00D21FF2">
        <w:rPr>
          <w:rFonts w:ascii="Sylfaen" w:hAnsi="Sylfaen"/>
        </w:rPr>
        <w:t xml:space="preserve">DOKAZ: </w:t>
      </w:r>
      <w:r w:rsidRPr="00D21FF2">
        <w:rPr>
          <w:rFonts w:ascii="Sylfaen" w:hAnsi="Sylfaen"/>
          <w:color w:val="000000"/>
        </w:rPr>
        <w:t>-</w:t>
      </w:r>
      <w:r w:rsidRPr="00D21FF2">
        <w:rPr>
          <w:rFonts w:ascii="Sylfaen" w:hAnsi="Sylfaen"/>
        </w:rPr>
        <w:t>presuda i rješenje Visokog trgovačkog suda Republike Hrvatske posl. br. Pž-389/2017-2 od  10. rujna 2019. g.</w:t>
      </w:r>
    </w:p>
    <w:p w:rsidR="002E43D0" w:rsidP="00954AD1" w:rsidRDefault="002E43D0">
      <w:pPr>
        <w:jc w:val="both"/>
        <w:rPr>
          <w:rFonts w:ascii="Sylfaen" w:hAnsi="Sylfaen"/>
          <w:u w:val="single"/>
        </w:rPr>
      </w:pPr>
    </w:p>
    <w:p w:rsidR="000249E3" w:rsidP="00954AD1" w:rsidRDefault="00893094">
      <w:pPr>
        <w:jc w:val="both"/>
      </w:pPr>
      <w:r>
        <w:rPr>
          <w:rFonts w:ascii="Sylfaen" w:hAnsi="Sylfaen"/>
          <w:u w:val="single"/>
        </w:rPr>
        <w:t>2</w:t>
      </w:r>
      <w:r w:rsidR="001E4745">
        <w:rPr>
          <w:rFonts w:ascii="Sylfaen" w:hAnsi="Sylfaen"/>
          <w:u w:val="single"/>
        </w:rPr>
        <w:t xml:space="preserve">. </w:t>
      </w:r>
      <w:r w:rsidRPr="00266432" w:rsidR="00954AD1">
        <w:rPr>
          <w:rFonts w:ascii="Sylfaen" w:hAnsi="Sylfaen"/>
          <w:u w:val="single"/>
        </w:rPr>
        <w:t xml:space="preserve">Predmet: GLUMINA BANKA d.d. u stečaju c/a </w:t>
      </w:r>
      <w:r w:rsidR="00D21FF2">
        <w:rPr>
          <w:u w:val="single"/>
        </w:rPr>
        <w:t>INTESA SANPAULO BANKA</w:t>
      </w:r>
      <w:r w:rsidR="000249E3">
        <w:t xml:space="preserve"> (ranije </w:t>
      </w:r>
      <w:r w:rsidR="00D21FF2">
        <w:t>UPI BANKA</w:t>
      </w:r>
      <w:r w:rsidR="000249E3">
        <w:t xml:space="preserve"> d.d</w:t>
      </w:r>
      <w:r w:rsidR="00D21FF2">
        <w:t xml:space="preserve">.), Sarajevo, Obala Kučina bana 9a, Federacija Bosne i Hercegovine, </w:t>
      </w:r>
      <w:r w:rsidR="000249E3">
        <w:t>a koji se vodi</w:t>
      </w:r>
      <w:r w:rsidR="00D21FF2">
        <w:t>o</w:t>
      </w:r>
      <w:r w:rsidR="000249E3">
        <w:t xml:space="preserve"> pred Trgovačkim sudom u Zagrebu pod brojem P-</w:t>
      </w:r>
      <w:r w:rsidR="00D21FF2">
        <w:t xml:space="preserve">2822/01, </w:t>
      </w:r>
      <w:r w:rsidR="00D67B33">
        <w:rPr>
          <w:rFonts w:ascii="Sylfaen" w:hAnsi="Sylfaen"/>
          <w:color w:val="000000"/>
        </w:rPr>
        <w:t xml:space="preserve">VPS: </w:t>
      </w:r>
      <w:r w:rsidR="00D21FF2">
        <w:t>511.291,88 EUR-a</w:t>
      </w:r>
    </w:p>
    <w:p w:rsidR="001E4D69" w:rsidP="00954AD1" w:rsidRDefault="001E4D69">
      <w:pPr>
        <w:jc w:val="both"/>
        <w:rPr>
          <w:rFonts w:ascii="Sylfaen" w:hAnsi="Sylfaen"/>
          <w:u w:val="single"/>
        </w:rPr>
      </w:pPr>
    </w:p>
    <w:p w:rsidRPr="001E4D69" w:rsidR="001E4D69" w:rsidP="00954AD1" w:rsidRDefault="001E4D69">
      <w:pPr>
        <w:jc w:val="both"/>
        <w:rPr>
          <w:rFonts w:ascii="Sylfaen" w:hAnsi="Sylfaen"/>
        </w:rPr>
      </w:pPr>
      <w:r w:rsidRPr="001E4D69">
        <w:rPr>
          <w:rFonts w:ascii="Sylfaen" w:hAnsi="Sylfaen"/>
        </w:rPr>
        <w:t xml:space="preserve">Presudom </w:t>
      </w:r>
      <w:r>
        <w:rPr>
          <w:rFonts w:ascii="Sylfaen" w:hAnsi="Sylfaen"/>
        </w:rPr>
        <w:t xml:space="preserve">Visokog trgovačkog suda Republike Hrvatske, posl. br.: Pž-3893/2019 od dana 18. rujna 2019. god. preinačena je presuda Trgovačkog suda u Zagrebu, posl. br.: P-2822/2011 od dana 21.11.2006. god. te je suđeno da se utvrđuje da je bez pravnog učinka prema tužiteljevoj stečajnoj masi ugovor o zamjeni dionica sklopljen između stranaka 22. prosinca 1998. god. te je naloženo tuženiku vratiti u tužiteljevu stečajnu masu stečene imovinske koristi u iznosu od 511.291,88 EUR-a s kamatama od 21.11.2006. god.  kao dana donošenja prvostupanjske presude pa do isplate te naknaditi parnični trošak u iznosu od 423.351,35 kn, s kamatama od 18.09.2019. god. pa do isplate.  </w:t>
      </w:r>
    </w:p>
    <w:p w:rsidRPr="00D67B33" w:rsidR="000249E3" w:rsidP="00D67B33" w:rsidRDefault="000249E3">
      <w:pPr>
        <w:jc w:val="both"/>
        <w:rPr>
          <w:rFonts w:ascii="Sylfaen" w:hAnsi="Sylfaen"/>
        </w:rPr>
      </w:pPr>
    </w:p>
    <w:p w:rsidRPr="00D67B33" w:rsidR="000249E3" w:rsidP="00D67B33" w:rsidRDefault="00D67B33">
      <w:pPr>
        <w:jc w:val="both"/>
        <w:rPr>
          <w:rFonts w:ascii="Sylfaen" w:hAnsi="Sylfaen"/>
        </w:rPr>
      </w:pPr>
      <w:r w:rsidRPr="00D67B33">
        <w:rPr>
          <w:rFonts w:ascii="Sylfaen" w:hAnsi="Sylfaen"/>
        </w:rPr>
        <w:t xml:space="preserve">DOKAZ: </w:t>
      </w:r>
      <w:r w:rsidRPr="001E4D69" w:rsidR="001E4D69">
        <w:rPr>
          <w:rFonts w:ascii="Sylfaen" w:hAnsi="Sylfaen"/>
        </w:rPr>
        <w:t>Presud</w:t>
      </w:r>
      <w:r w:rsidR="001E4D69">
        <w:rPr>
          <w:rFonts w:ascii="Sylfaen" w:hAnsi="Sylfaen"/>
        </w:rPr>
        <w:t>a</w:t>
      </w:r>
      <w:r w:rsidRPr="001E4D69" w:rsidR="001E4D69">
        <w:rPr>
          <w:rFonts w:ascii="Sylfaen" w:hAnsi="Sylfaen"/>
        </w:rPr>
        <w:t xml:space="preserve"> </w:t>
      </w:r>
      <w:r w:rsidR="001E4D69">
        <w:rPr>
          <w:rFonts w:ascii="Sylfaen" w:hAnsi="Sylfaen"/>
        </w:rPr>
        <w:t>Visokog trgovačkog suda Republike Hrvatske, posl. br.: Pž-3893/2019 od dana 18. rujna 2019. god.</w:t>
      </w:r>
    </w:p>
    <w:p w:rsidRPr="00A8655B" w:rsidR="00627750" w:rsidP="00627750" w:rsidRDefault="00627750">
      <w:pPr>
        <w:jc w:val="both"/>
        <w:rPr>
          <w:rFonts w:ascii="Sylfaen" w:hAnsi="Sylfaen"/>
        </w:rPr>
      </w:pPr>
    </w:p>
    <w:p w:rsidRPr="0081389E" w:rsidR="001E4745" w:rsidP="0081389E" w:rsidRDefault="00893094">
      <w:pPr>
        <w:jc w:val="both"/>
        <w:rPr>
          <w:rFonts w:ascii="Sylfaen" w:hAnsi="Sylfaen"/>
          <w:lang w:eastAsia="hr-HR"/>
        </w:rPr>
      </w:pPr>
      <w:r>
        <w:rPr>
          <w:rFonts w:ascii="Sylfaen" w:hAnsi="Sylfaen"/>
        </w:rPr>
        <w:lastRenderedPageBreak/>
        <w:t>3</w:t>
      </w:r>
      <w:r w:rsidRPr="0081389E" w:rsidR="001E4745">
        <w:rPr>
          <w:rFonts w:ascii="Sylfaen" w:hAnsi="Sylfaen"/>
        </w:rPr>
        <w:t xml:space="preserve">. </w:t>
      </w:r>
      <w:r w:rsidRPr="0081389E" w:rsidR="001E4745">
        <w:rPr>
          <w:rFonts w:ascii="Sylfaen" w:hAnsi="Sylfaen"/>
          <w:u w:val="single"/>
        </w:rPr>
        <w:t>Predmet</w:t>
      </w:r>
      <w:r w:rsidRPr="0081389E" w:rsidR="001E4745">
        <w:rPr>
          <w:rFonts w:ascii="Sylfaen" w:hAnsi="Sylfaen"/>
          <w:u w:val="single"/>
          <w:lang w:eastAsia="hr-HR"/>
        </w:rPr>
        <w:t xml:space="preserve"> GLUMINA BANKA d.d. - u stečaju, Zagreb c/a </w:t>
      </w:r>
      <w:r w:rsidR="001E4D69">
        <w:rPr>
          <w:rFonts w:ascii="Sylfaen" w:hAnsi="Sylfaen"/>
          <w:u w:val="single"/>
          <w:lang w:eastAsia="hr-HR"/>
        </w:rPr>
        <w:t>IGOR KUZMANIĆ</w:t>
      </w:r>
      <w:r w:rsidRPr="0081389E" w:rsidR="001E4745">
        <w:rPr>
          <w:rFonts w:ascii="Sylfaen" w:hAnsi="Sylfaen"/>
          <w:u w:val="single"/>
          <w:lang w:eastAsia="hr-HR"/>
        </w:rPr>
        <w:t xml:space="preserve"> iz </w:t>
      </w:r>
      <w:r w:rsidR="001E4D69">
        <w:rPr>
          <w:rFonts w:ascii="Sylfaen" w:hAnsi="Sylfaen"/>
          <w:u w:val="single"/>
          <w:lang w:eastAsia="hr-HR"/>
        </w:rPr>
        <w:t xml:space="preserve">Samobora, </w:t>
      </w:r>
      <w:r w:rsidRPr="0081389E" w:rsidR="001E4745">
        <w:rPr>
          <w:rFonts w:ascii="Sylfaen" w:hAnsi="Sylfaen"/>
          <w:u w:val="single"/>
          <w:lang w:eastAsia="hr-HR"/>
        </w:rPr>
        <w:t xml:space="preserve"> </w:t>
      </w:r>
      <w:r w:rsidRPr="008F761C" w:rsidR="001E4D69">
        <w:rPr>
          <w:rFonts w:ascii="Sylfaen" w:hAnsi="Sylfaen"/>
          <w:lang w:eastAsia="hr-HR"/>
        </w:rPr>
        <w:t xml:space="preserve">povodom prijedloga za ponavljanje postupka zastupnice tuženika Nikoline Golubić, </w:t>
      </w:r>
      <w:r w:rsidRPr="008F761C" w:rsidR="001E4745">
        <w:rPr>
          <w:rFonts w:ascii="Sylfaen" w:hAnsi="Sylfaen"/>
          <w:lang w:eastAsia="hr-HR"/>
        </w:rPr>
        <w:t xml:space="preserve"> </w:t>
      </w:r>
      <w:r w:rsidRPr="008F761C" w:rsidR="001E4745">
        <w:rPr>
          <w:rFonts w:ascii="Sylfaen" w:hAnsi="Sylfaen"/>
        </w:rPr>
        <w:t xml:space="preserve">a koji postupak se vodi pred Trgovačkim sudom u Zagrebu pod brojem </w:t>
      </w:r>
      <w:r w:rsidRPr="008F761C" w:rsidR="001E4745">
        <w:rPr>
          <w:rFonts w:ascii="Sylfaen" w:hAnsi="Sylfaen"/>
          <w:lang w:eastAsia="hr-HR"/>
        </w:rPr>
        <w:t>P-</w:t>
      </w:r>
      <w:r w:rsidRPr="008F761C" w:rsidR="001E4D69">
        <w:rPr>
          <w:rFonts w:ascii="Sylfaen" w:hAnsi="Sylfaen"/>
          <w:lang w:eastAsia="hr-HR"/>
        </w:rPr>
        <w:t xml:space="preserve">5285/2011, </w:t>
      </w:r>
      <w:r w:rsidRPr="008F761C" w:rsidR="001E4745">
        <w:rPr>
          <w:rFonts w:ascii="Sylfaen" w:hAnsi="Sylfaen"/>
          <w:lang w:eastAsia="hr-HR"/>
        </w:rPr>
        <w:t>radi isplate</w:t>
      </w:r>
      <w:r w:rsidRPr="008F761C" w:rsidR="0081389E">
        <w:rPr>
          <w:rFonts w:ascii="Sylfaen" w:hAnsi="Sylfaen"/>
          <w:lang w:eastAsia="hr-HR"/>
        </w:rPr>
        <w:t xml:space="preserve"> </w:t>
      </w:r>
      <w:r w:rsidRPr="008F761C" w:rsidR="001E4D69">
        <w:rPr>
          <w:rFonts w:ascii="Sylfaen" w:hAnsi="Sylfaen"/>
          <w:lang w:eastAsia="hr-HR"/>
        </w:rPr>
        <w:t>1</w:t>
      </w:r>
      <w:r w:rsidRPr="008F761C" w:rsidR="0081389E">
        <w:rPr>
          <w:rFonts w:ascii="Sylfaen" w:hAnsi="Sylfaen"/>
          <w:lang w:eastAsia="hr-HR"/>
        </w:rPr>
        <w:t>.</w:t>
      </w:r>
      <w:r w:rsidRPr="008F761C" w:rsidR="001E4D69">
        <w:rPr>
          <w:rFonts w:ascii="Sylfaen" w:hAnsi="Sylfaen"/>
          <w:lang w:eastAsia="hr-HR"/>
        </w:rPr>
        <w:t>383.193,55</w:t>
      </w:r>
      <w:r w:rsidRPr="008F761C" w:rsidR="0081389E">
        <w:rPr>
          <w:rFonts w:ascii="Sylfaen" w:hAnsi="Sylfaen"/>
          <w:lang w:eastAsia="hr-HR"/>
        </w:rPr>
        <w:t xml:space="preserve"> kn</w:t>
      </w:r>
    </w:p>
    <w:p w:rsidRPr="0081389E" w:rsidR="001E4745" w:rsidP="0081389E" w:rsidRDefault="001E4745">
      <w:pPr>
        <w:jc w:val="both"/>
        <w:rPr>
          <w:rFonts w:ascii="Sylfaen" w:hAnsi="Sylfaen"/>
          <w:lang w:eastAsia="hr-HR"/>
        </w:rPr>
      </w:pPr>
    </w:p>
    <w:p w:rsidR="005D572F" w:rsidP="0081389E" w:rsidRDefault="005D572F">
      <w:pPr>
        <w:jc w:val="both"/>
        <w:rPr>
          <w:rFonts w:ascii="Sylfaen" w:hAnsi="Sylfaen"/>
          <w:lang w:eastAsia="hr-HR"/>
        </w:rPr>
      </w:pPr>
      <w:r>
        <w:rPr>
          <w:rFonts w:ascii="Sylfaen" w:hAnsi="Sylfaen"/>
          <w:lang w:eastAsia="hr-HR"/>
        </w:rPr>
        <w:t>Rješenjem</w:t>
      </w:r>
      <w:r w:rsidRPr="0081389E" w:rsidR="001E4745">
        <w:rPr>
          <w:rFonts w:ascii="Sylfaen" w:hAnsi="Sylfaen"/>
          <w:lang w:eastAsia="hr-HR"/>
        </w:rPr>
        <w:t xml:space="preserve"> Trgovačkog suda u Zagrebu, posl. br.: </w:t>
      </w:r>
      <w:r w:rsidRPr="0081389E" w:rsidR="001E4745">
        <w:rPr>
          <w:rFonts w:ascii="Sylfaen" w:hAnsi="Sylfaen"/>
        </w:rPr>
        <w:t xml:space="preserve"> </w:t>
      </w:r>
      <w:r w:rsidRPr="0081389E" w:rsidR="001E4745">
        <w:rPr>
          <w:rFonts w:ascii="Sylfaen" w:hAnsi="Sylfaen"/>
          <w:lang w:eastAsia="hr-HR"/>
        </w:rPr>
        <w:t>P-</w:t>
      </w:r>
      <w:r>
        <w:rPr>
          <w:rFonts w:ascii="Sylfaen" w:hAnsi="Sylfaen"/>
          <w:lang w:eastAsia="hr-HR"/>
        </w:rPr>
        <w:t>5285/2011</w:t>
      </w:r>
      <w:r w:rsidRPr="0081389E" w:rsidR="001E4745">
        <w:rPr>
          <w:rFonts w:ascii="Sylfaen" w:hAnsi="Sylfaen"/>
          <w:lang w:eastAsia="hr-HR"/>
        </w:rPr>
        <w:t xml:space="preserve"> od dana </w:t>
      </w:r>
      <w:r>
        <w:rPr>
          <w:rFonts w:ascii="Sylfaen" w:hAnsi="Sylfaen"/>
          <w:lang w:eastAsia="hr-HR"/>
        </w:rPr>
        <w:t>25.10</w:t>
      </w:r>
      <w:r w:rsidRPr="0081389E" w:rsidR="001E4745">
        <w:rPr>
          <w:rFonts w:ascii="Sylfaen" w:hAnsi="Sylfaen"/>
          <w:lang w:eastAsia="hr-HR"/>
        </w:rPr>
        <w:t xml:space="preserve">.2019. god.  </w:t>
      </w:r>
      <w:r>
        <w:rPr>
          <w:rFonts w:ascii="Sylfaen" w:hAnsi="Sylfaen"/>
          <w:lang w:eastAsia="hr-HR"/>
        </w:rPr>
        <w:t xml:space="preserve">odbijen je prijedlog za ponavljanje postupka privremene zastupnice tuženika te je istoj naloženo nadoknaditi tužitelju parnični trošak u iznosu od 51.900,00 kn. Na rješenje je </w:t>
      </w:r>
      <w:r w:rsidR="00C62B07">
        <w:rPr>
          <w:rFonts w:ascii="Sylfaen" w:hAnsi="Sylfaen"/>
          <w:lang w:eastAsia="hr-HR"/>
        </w:rPr>
        <w:t xml:space="preserve">izjavljena žalba tužene te se predmet vodi pred Visokim trgovačkim sudom Republike Hrvatske posl. br.: </w:t>
      </w:r>
      <w:r w:rsidR="004D401E">
        <w:rPr>
          <w:rFonts w:ascii="Sylfaen" w:hAnsi="Sylfaen"/>
          <w:lang w:eastAsia="hr-HR"/>
        </w:rPr>
        <w:t>Pž-6889/2019 te do danas nije donesena drugostupanjska odluka.</w:t>
      </w:r>
      <w:r w:rsidR="00C62B07">
        <w:rPr>
          <w:rFonts w:ascii="Sylfaen" w:hAnsi="Sylfaen"/>
          <w:lang w:eastAsia="hr-HR"/>
        </w:rPr>
        <w:t xml:space="preserve"> </w:t>
      </w:r>
    </w:p>
    <w:p w:rsidRPr="0081389E" w:rsidR="0081389E" w:rsidP="0081389E" w:rsidRDefault="0081389E">
      <w:pPr>
        <w:jc w:val="both"/>
        <w:rPr>
          <w:rFonts w:ascii="Sylfaen" w:hAnsi="Sylfaen"/>
        </w:rPr>
      </w:pPr>
    </w:p>
    <w:p w:rsidRPr="0081389E" w:rsidR="0081389E" w:rsidP="0081389E" w:rsidRDefault="0081389E">
      <w:pPr>
        <w:jc w:val="both"/>
        <w:rPr>
          <w:rFonts w:ascii="Sylfaen" w:hAnsi="Sylfaen"/>
        </w:rPr>
      </w:pPr>
      <w:r w:rsidRPr="0081389E">
        <w:rPr>
          <w:rFonts w:ascii="Sylfaen" w:hAnsi="Sylfaen"/>
        </w:rPr>
        <w:t>DOKAZ</w:t>
      </w:r>
      <w:r w:rsidR="004D401E">
        <w:rPr>
          <w:rFonts w:ascii="Sylfaen" w:hAnsi="Sylfaen"/>
        </w:rPr>
        <w:t xml:space="preserve">: </w:t>
      </w:r>
      <w:r w:rsidR="004D401E">
        <w:rPr>
          <w:rFonts w:ascii="Sylfaen" w:hAnsi="Sylfaen"/>
          <w:lang w:eastAsia="hr-HR"/>
        </w:rPr>
        <w:t>Rješenje</w:t>
      </w:r>
      <w:r w:rsidRPr="0081389E" w:rsidR="004D401E">
        <w:rPr>
          <w:rFonts w:ascii="Sylfaen" w:hAnsi="Sylfaen"/>
          <w:lang w:eastAsia="hr-HR"/>
        </w:rPr>
        <w:t xml:space="preserve"> Trgovačkog suda u Zagrebu, posl. br.: </w:t>
      </w:r>
      <w:r w:rsidRPr="0081389E" w:rsidR="004D401E">
        <w:rPr>
          <w:rFonts w:ascii="Sylfaen" w:hAnsi="Sylfaen"/>
        </w:rPr>
        <w:t xml:space="preserve"> </w:t>
      </w:r>
      <w:r w:rsidRPr="0081389E" w:rsidR="004D401E">
        <w:rPr>
          <w:rFonts w:ascii="Sylfaen" w:hAnsi="Sylfaen"/>
          <w:lang w:eastAsia="hr-HR"/>
        </w:rPr>
        <w:t>P-</w:t>
      </w:r>
      <w:r w:rsidR="004D401E">
        <w:rPr>
          <w:rFonts w:ascii="Sylfaen" w:hAnsi="Sylfaen"/>
          <w:lang w:eastAsia="hr-HR"/>
        </w:rPr>
        <w:t>5285/2011</w:t>
      </w:r>
      <w:r w:rsidRPr="0081389E" w:rsidR="004D401E">
        <w:rPr>
          <w:rFonts w:ascii="Sylfaen" w:hAnsi="Sylfaen"/>
          <w:lang w:eastAsia="hr-HR"/>
        </w:rPr>
        <w:t xml:space="preserve"> od dana </w:t>
      </w:r>
      <w:r w:rsidR="004D401E">
        <w:rPr>
          <w:rFonts w:ascii="Sylfaen" w:hAnsi="Sylfaen"/>
          <w:lang w:eastAsia="hr-HR"/>
        </w:rPr>
        <w:t>25.10</w:t>
      </w:r>
      <w:r w:rsidRPr="0081389E" w:rsidR="004D401E">
        <w:rPr>
          <w:rFonts w:ascii="Sylfaen" w:hAnsi="Sylfaen"/>
          <w:lang w:eastAsia="hr-HR"/>
        </w:rPr>
        <w:t xml:space="preserve">.2019. god.  </w:t>
      </w:r>
    </w:p>
    <w:p w:rsidR="001E4745" w:rsidP="00627750" w:rsidRDefault="001E4745">
      <w:pPr>
        <w:rPr>
          <w:rFonts w:ascii="Sylfaen" w:hAnsi="Sylfaen"/>
          <w:u w:val="single"/>
        </w:rPr>
      </w:pPr>
    </w:p>
    <w:p w:rsidRPr="008F761C" w:rsidR="00893094" w:rsidP="00627750" w:rsidRDefault="00893094">
      <w:pPr>
        <w:rPr>
          <w:rFonts w:ascii="Sylfaen" w:hAnsi="Sylfaen"/>
          <w:u w:val="single"/>
          <w:lang w:eastAsia="hr-HR"/>
        </w:rPr>
      </w:pPr>
      <w:r w:rsidRPr="008F761C">
        <w:rPr>
          <w:rFonts w:ascii="Sylfaen" w:hAnsi="Sylfaen"/>
          <w:u w:val="single"/>
        </w:rPr>
        <w:t>4. Predmet</w:t>
      </w:r>
      <w:r w:rsidRPr="008F761C">
        <w:rPr>
          <w:rFonts w:ascii="Sylfaen" w:hAnsi="Sylfaen"/>
          <w:u w:val="single"/>
          <w:lang w:eastAsia="hr-HR"/>
        </w:rPr>
        <w:t xml:space="preserve"> GLUMINA BANKA d.d. - u stečaju, Zagreb c/a PROMET ORKAN d.o.o. iz Zagreba, Cimermančićeva 3, OIB: 21609083770, MIRKO </w:t>
      </w:r>
      <w:r w:rsidRPr="008F761C" w:rsidR="007A24F5">
        <w:rPr>
          <w:rFonts w:ascii="Sylfaen" w:hAnsi="Sylfaen"/>
          <w:u w:val="single"/>
          <w:lang w:eastAsia="hr-HR"/>
        </w:rPr>
        <w:t xml:space="preserve">ĐINKIĆ iz Zagreba, Cimermančićeva 3, OIB: 01851964454 i MIRA ĐINKIĆ iz Klinča Sela, </w:t>
      </w:r>
      <w:r w:rsidRPr="008F761C">
        <w:rPr>
          <w:rFonts w:ascii="Sylfaen" w:hAnsi="Sylfaen"/>
        </w:rPr>
        <w:t xml:space="preserve">a koji postupak se vodi pred Trgovačkim sudom u Zagrebu pod brojem </w:t>
      </w:r>
      <w:r w:rsidRPr="008F761C">
        <w:rPr>
          <w:rFonts w:ascii="Sylfaen" w:hAnsi="Sylfaen"/>
          <w:lang w:eastAsia="hr-HR"/>
        </w:rPr>
        <w:t>P-</w:t>
      </w:r>
      <w:r w:rsidRPr="008F761C" w:rsidR="007A24F5">
        <w:rPr>
          <w:rFonts w:ascii="Sylfaen" w:hAnsi="Sylfaen"/>
          <w:lang w:eastAsia="hr-HR"/>
        </w:rPr>
        <w:t>1388/2017</w:t>
      </w:r>
      <w:r w:rsidRPr="008F761C">
        <w:rPr>
          <w:rFonts w:ascii="Sylfaen" w:hAnsi="Sylfaen"/>
          <w:lang w:eastAsia="hr-HR"/>
        </w:rPr>
        <w:t xml:space="preserve">, radi isplate </w:t>
      </w:r>
      <w:r w:rsidRPr="008F761C" w:rsidR="008F761C">
        <w:rPr>
          <w:rFonts w:ascii="Sylfaen" w:hAnsi="Sylfaen"/>
          <w:bCs/>
        </w:rPr>
        <w:t>927.448,21 EUR-a</w:t>
      </w:r>
    </w:p>
    <w:p w:rsidRPr="008F761C" w:rsidR="007A24F5" w:rsidP="00627750" w:rsidRDefault="007A24F5">
      <w:pPr>
        <w:rPr>
          <w:rFonts w:ascii="Sylfaen" w:hAnsi="Sylfaen"/>
          <w:u w:val="single"/>
          <w:lang w:eastAsia="hr-HR"/>
        </w:rPr>
      </w:pPr>
    </w:p>
    <w:p w:rsidRPr="00982097" w:rsidR="008F761C" w:rsidP="008F761C" w:rsidRDefault="008F761C">
      <w:pPr>
        <w:jc w:val="both"/>
        <w:rPr>
          <w:rFonts w:ascii="Sylfaen" w:hAnsi="Sylfaen"/>
        </w:rPr>
      </w:pPr>
      <w:r w:rsidRPr="00982097">
        <w:rPr>
          <w:rFonts w:ascii="Sylfaen" w:hAnsi="Sylfaen"/>
        </w:rPr>
        <w:t xml:space="preserve">Presudom Trgovačkog suda u Zagrebu </w:t>
      </w:r>
      <w:hyperlink w:tgtFrame="_blank" w:history="true" r:id="rId11">
        <w:r w:rsidRPr="00813E64">
          <w:rPr>
            <w:rStyle w:val="Hiperveza"/>
            <w:rFonts w:ascii="Sylfaen" w:hAnsi="Sylfaen"/>
            <w:color w:val="auto"/>
            <w:u w:val="none"/>
          </w:rPr>
          <w:t>posl.br</w:t>
        </w:r>
      </w:hyperlink>
      <w:r w:rsidRPr="00982097">
        <w:rPr>
          <w:rFonts w:ascii="Sylfaen" w:hAnsi="Sylfaen"/>
        </w:rPr>
        <w:t xml:space="preserve">. P-1670/2004 </w:t>
      </w:r>
      <w:r w:rsidR="001D5A02">
        <w:rPr>
          <w:rFonts w:ascii="Sylfaen" w:hAnsi="Sylfaen"/>
        </w:rPr>
        <w:t>od 10. lipnja 2015. godine</w:t>
      </w:r>
      <w:r w:rsidRPr="00982097" w:rsidR="001D5A02">
        <w:rPr>
          <w:rFonts w:ascii="Sylfaen" w:hAnsi="Sylfaen"/>
        </w:rPr>
        <w:t xml:space="preserve"> </w:t>
      </w:r>
      <w:r w:rsidRPr="00982097">
        <w:rPr>
          <w:rFonts w:ascii="Sylfaen" w:hAnsi="Sylfaen"/>
        </w:rPr>
        <w:t>usvojen je tužbeni zahtjev tužitelja, Glumina banke d.d. u stečaju te je n</w:t>
      </w:r>
      <w:r w:rsidRPr="00982097" w:rsidR="00982097">
        <w:rPr>
          <w:rFonts w:ascii="Sylfaen" w:hAnsi="Sylfaen"/>
        </w:rPr>
        <w:t>aloženo tuženicima Promet Orkan d.o.o., Mirko Đinskić i Mira</w:t>
      </w:r>
      <w:r w:rsidRPr="00982097">
        <w:rPr>
          <w:rFonts w:ascii="Sylfaen" w:hAnsi="Sylfaen"/>
        </w:rPr>
        <w:t xml:space="preserve"> Đinkić da solidarno isplate tužitelju iznos od </w:t>
      </w:r>
      <w:r w:rsidRPr="00982097">
        <w:rPr>
          <w:rFonts w:ascii="Sylfaen" w:hAnsi="Sylfaen"/>
          <w:bCs/>
        </w:rPr>
        <w:t>927.448,21 EUR-a</w:t>
      </w:r>
      <w:r w:rsidRPr="00982097">
        <w:rPr>
          <w:rFonts w:ascii="Sylfaen" w:hAnsi="Sylfaen"/>
          <w:b/>
          <w:bCs/>
        </w:rPr>
        <w:t xml:space="preserve"> </w:t>
      </w:r>
      <w:r w:rsidRPr="00982097">
        <w:rPr>
          <w:rFonts w:ascii="Sylfaen" w:hAnsi="Sylfaen"/>
        </w:rPr>
        <w:t>u kunskoj protuvrijednosti prema srednjem tečaju HNB-a na dan prijenosa zajedno s pripadajućom kamatom do isplate te tužitelju naknade trošak parničnog postupka u iznosu od 2.052.131,90 kn.</w:t>
      </w:r>
    </w:p>
    <w:p w:rsidRPr="00982097" w:rsidR="008F761C" w:rsidP="008F761C" w:rsidRDefault="008F761C">
      <w:pPr>
        <w:rPr>
          <w:rFonts w:ascii="Sylfaen" w:hAnsi="Sylfaen"/>
        </w:rPr>
      </w:pPr>
    </w:p>
    <w:p w:rsidRPr="00982097" w:rsidR="008F761C" w:rsidP="008F761C" w:rsidRDefault="00982097">
      <w:pPr>
        <w:jc w:val="both"/>
        <w:rPr>
          <w:rFonts w:ascii="Sylfaen" w:hAnsi="Sylfaen"/>
        </w:rPr>
      </w:pPr>
      <w:r w:rsidRPr="00982097">
        <w:rPr>
          <w:rFonts w:ascii="Sylfaen" w:hAnsi="Sylfaen"/>
        </w:rPr>
        <w:t>Presudom Visokog trgovačkog</w:t>
      </w:r>
      <w:r w:rsidRPr="00982097" w:rsidR="008F761C">
        <w:rPr>
          <w:rFonts w:ascii="Sylfaen" w:hAnsi="Sylfaen"/>
        </w:rPr>
        <w:t xml:space="preserve"> sud</w:t>
      </w:r>
      <w:r w:rsidRPr="00982097">
        <w:rPr>
          <w:rFonts w:ascii="Sylfaen" w:hAnsi="Sylfaen"/>
        </w:rPr>
        <w:t>a</w:t>
      </w:r>
      <w:r w:rsidRPr="00982097" w:rsidR="008F761C">
        <w:rPr>
          <w:rFonts w:ascii="Sylfaen" w:hAnsi="Sylfaen"/>
        </w:rPr>
        <w:t xml:space="preserve"> Republike Hrvatske posl. br. Pž-2700/2016</w:t>
      </w:r>
      <w:r w:rsidRPr="001D5A02" w:rsidR="001D5A02">
        <w:rPr>
          <w:rFonts w:ascii="Sylfaen" w:hAnsi="Sylfaen"/>
        </w:rPr>
        <w:t xml:space="preserve"> </w:t>
      </w:r>
      <w:r w:rsidR="001D5A02">
        <w:rPr>
          <w:rFonts w:ascii="Sylfaen" w:hAnsi="Sylfaen"/>
        </w:rPr>
        <w:t>od 23. svibnja 2017. god.</w:t>
      </w:r>
      <w:r w:rsidRPr="00982097">
        <w:rPr>
          <w:rFonts w:ascii="Sylfaen" w:hAnsi="Sylfaen"/>
        </w:rPr>
        <w:t xml:space="preserve">, donesenom povodom žalbe tuženika, </w:t>
      </w:r>
      <w:r w:rsidRPr="00982097" w:rsidR="008F761C">
        <w:rPr>
          <w:rFonts w:ascii="Sylfaen" w:hAnsi="Sylfaen"/>
        </w:rPr>
        <w:t xml:space="preserve"> djelomično</w:t>
      </w:r>
      <w:r w:rsidRPr="00982097">
        <w:rPr>
          <w:rFonts w:ascii="Sylfaen" w:hAnsi="Sylfaen"/>
        </w:rPr>
        <w:t xml:space="preserve"> je potvrđena prvostupanjska presuda</w:t>
      </w:r>
      <w:r w:rsidRPr="00982097" w:rsidR="008F761C">
        <w:rPr>
          <w:rFonts w:ascii="Sylfaen" w:hAnsi="Sylfaen"/>
        </w:rPr>
        <w:t xml:space="preserve"> u dijelu kojim je odbijen protutužbeni zahtjev tuženika vezan za ništetnost Ugovora i rješenjem </w:t>
      </w:r>
      <w:r w:rsidRPr="00982097">
        <w:rPr>
          <w:rFonts w:ascii="Sylfaen" w:hAnsi="Sylfaen"/>
        </w:rPr>
        <w:t>je ukinuta presuda u preostalom dijelu, a</w:t>
      </w:r>
      <w:r w:rsidRPr="00982097" w:rsidR="008F761C">
        <w:rPr>
          <w:rFonts w:ascii="Sylfaen" w:hAnsi="Sylfaen"/>
        </w:rPr>
        <w:t xml:space="preserve"> predmet</w:t>
      </w:r>
      <w:r w:rsidRPr="00982097">
        <w:rPr>
          <w:rFonts w:ascii="Sylfaen" w:hAnsi="Sylfaen"/>
        </w:rPr>
        <w:t xml:space="preserve"> vraćen</w:t>
      </w:r>
      <w:r w:rsidRPr="00982097" w:rsidR="008F761C">
        <w:rPr>
          <w:rFonts w:ascii="Sylfaen" w:hAnsi="Sylfaen"/>
        </w:rPr>
        <w:t xml:space="preserve"> prvostupanjskom sudu na ponovno suđenje.</w:t>
      </w:r>
    </w:p>
    <w:p w:rsidRPr="00982097" w:rsidR="008F761C" w:rsidP="008F761C" w:rsidRDefault="008F761C">
      <w:pPr>
        <w:rPr>
          <w:rFonts w:ascii="Sylfaen" w:hAnsi="Sylfaen"/>
        </w:rPr>
      </w:pPr>
    </w:p>
    <w:p w:rsidRPr="00982097" w:rsidR="008F761C" w:rsidP="008F761C" w:rsidRDefault="008F761C">
      <w:pPr>
        <w:jc w:val="both"/>
        <w:rPr>
          <w:rFonts w:ascii="Sylfaen" w:hAnsi="Sylfaen"/>
        </w:rPr>
      </w:pPr>
      <w:r w:rsidRPr="00982097">
        <w:rPr>
          <w:rFonts w:ascii="Sylfaen" w:hAnsi="Sylfaen"/>
        </w:rPr>
        <w:t xml:space="preserve">Parnični postupak se sada vodi pod </w:t>
      </w:r>
      <w:hyperlink w:tgtFrame="_blank" w:history="true" r:id="rId12">
        <w:r w:rsidRPr="00982097">
          <w:rPr>
            <w:rStyle w:val="Hiperveza"/>
            <w:rFonts w:ascii="Sylfaen" w:hAnsi="Sylfaen"/>
            <w:color w:val="auto"/>
            <w:u w:val="none"/>
          </w:rPr>
          <w:t>posl.br</w:t>
        </w:r>
      </w:hyperlink>
      <w:r w:rsidRPr="00982097">
        <w:rPr>
          <w:rFonts w:ascii="Sylfaen" w:hAnsi="Sylfaen"/>
        </w:rPr>
        <w:t>. P-1388/2017 godine kod Trgovačkog suda u Zagrebu te je na posljednjem ročištu koje se održalo dana 25. studenog 2019. godine zaključena glavna rasprava, a ročište za objavu presude zakazano je za dan 19. prosinca 2019. godine.</w:t>
      </w:r>
    </w:p>
    <w:p w:rsidR="00982097" w:rsidP="00627750" w:rsidRDefault="00982097">
      <w:pPr>
        <w:rPr>
          <w:rFonts w:ascii="Sylfaen" w:hAnsi="Sylfaen"/>
          <w:color w:val="FF0000"/>
          <w:lang w:eastAsia="hr-HR"/>
        </w:rPr>
      </w:pPr>
    </w:p>
    <w:p w:rsidR="00982097" w:rsidP="00627750" w:rsidRDefault="00E62258">
      <w:pPr>
        <w:rPr>
          <w:rFonts w:ascii="Sylfaen" w:hAnsi="Sylfaen"/>
          <w:color w:val="FF0000"/>
          <w:lang w:eastAsia="hr-HR"/>
        </w:rPr>
      </w:pPr>
      <w:r w:rsidRPr="001D5A02">
        <w:rPr>
          <w:rFonts w:ascii="Sylfaen" w:hAnsi="Sylfaen"/>
          <w:lang w:eastAsia="hr-HR"/>
        </w:rPr>
        <w:t xml:space="preserve">DOKAZ: </w:t>
      </w:r>
      <w:r w:rsidRPr="001D5A02" w:rsidR="001D5A02">
        <w:rPr>
          <w:rFonts w:ascii="Sylfaen" w:hAnsi="Sylfaen"/>
        </w:rPr>
        <w:t>presuda</w:t>
      </w:r>
      <w:r w:rsidRPr="00982097" w:rsidR="001D5A02">
        <w:rPr>
          <w:rFonts w:ascii="Sylfaen" w:hAnsi="Sylfaen"/>
        </w:rPr>
        <w:t xml:space="preserve"> Trgovačkog suda u Zagrebu </w:t>
      </w:r>
      <w:hyperlink w:tgtFrame="_blank" w:history="true" r:id="rId13">
        <w:r w:rsidRPr="00813E64" w:rsidR="001D5A02">
          <w:rPr>
            <w:rStyle w:val="Hiperveza"/>
            <w:rFonts w:ascii="Sylfaen" w:hAnsi="Sylfaen"/>
            <w:color w:val="auto"/>
            <w:u w:val="none"/>
          </w:rPr>
          <w:t>posl.br</w:t>
        </w:r>
      </w:hyperlink>
      <w:r w:rsidRPr="00982097" w:rsidR="001D5A02">
        <w:rPr>
          <w:rFonts w:ascii="Sylfaen" w:hAnsi="Sylfaen"/>
        </w:rPr>
        <w:t xml:space="preserve">. P-1670/2004 </w:t>
      </w:r>
      <w:r w:rsidR="001D5A02">
        <w:rPr>
          <w:rFonts w:ascii="Sylfaen" w:hAnsi="Sylfaen"/>
        </w:rPr>
        <w:t>od 10. lipnja 2015. godine</w:t>
      </w:r>
    </w:p>
    <w:p w:rsidR="001D5A02" w:rsidP="001D5A02" w:rsidRDefault="001D5A02">
      <w:pPr>
        <w:ind w:firstLine="720"/>
        <w:rPr>
          <w:rFonts w:ascii="Sylfaen" w:hAnsi="Sylfaen"/>
        </w:rPr>
      </w:pPr>
      <w:r>
        <w:rPr>
          <w:rFonts w:ascii="Sylfaen" w:hAnsi="Sylfaen"/>
        </w:rPr>
        <w:t xml:space="preserve">    p</w:t>
      </w:r>
      <w:r w:rsidRPr="00982097">
        <w:rPr>
          <w:rFonts w:ascii="Sylfaen" w:hAnsi="Sylfaen"/>
        </w:rPr>
        <w:t>resud</w:t>
      </w:r>
      <w:r>
        <w:rPr>
          <w:rFonts w:ascii="Sylfaen" w:hAnsi="Sylfaen"/>
        </w:rPr>
        <w:t>a</w:t>
      </w:r>
      <w:r w:rsidRPr="00982097">
        <w:rPr>
          <w:rFonts w:ascii="Sylfaen" w:hAnsi="Sylfaen"/>
        </w:rPr>
        <w:t xml:space="preserve"> Visokog trgovačkog suda Republike Hrvatske posl. br. Pž-2700/2016</w:t>
      </w:r>
      <w:r w:rsidRPr="001D5A02">
        <w:rPr>
          <w:rFonts w:ascii="Sylfaen" w:hAnsi="Sylfaen"/>
        </w:rPr>
        <w:t xml:space="preserve"> </w:t>
      </w:r>
    </w:p>
    <w:p w:rsidR="00982097" w:rsidP="001D5A02" w:rsidRDefault="001D5A02">
      <w:pPr>
        <w:ind w:firstLine="720"/>
        <w:rPr>
          <w:rFonts w:ascii="Sylfaen" w:hAnsi="Sylfaen"/>
          <w:color w:val="FF0000"/>
          <w:lang w:eastAsia="hr-HR"/>
        </w:rPr>
      </w:pPr>
      <w:r>
        <w:rPr>
          <w:rFonts w:ascii="Sylfaen" w:hAnsi="Sylfaen"/>
        </w:rPr>
        <w:t xml:space="preserve">    od 23. svibnja 2017. god.</w:t>
      </w:r>
      <w:r w:rsidRPr="00982097">
        <w:rPr>
          <w:rFonts w:ascii="Sylfaen" w:hAnsi="Sylfaen"/>
        </w:rPr>
        <w:t>,</w:t>
      </w:r>
    </w:p>
    <w:p w:rsidR="00982097" w:rsidP="00627750" w:rsidRDefault="00982097">
      <w:pPr>
        <w:rPr>
          <w:rFonts w:ascii="Sylfaen" w:hAnsi="Sylfaen"/>
          <w:color w:val="FF0000"/>
          <w:lang w:eastAsia="hr-HR"/>
        </w:rPr>
      </w:pPr>
    </w:p>
    <w:p w:rsidR="00982097" w:rsidP="00627750" w:rsidRDefault="00982097">
      <w:pPr>
        <w:rPr>
          <w:rFonts w:ascii="Sylfaen" w:hAnsi="Sylfaen"/>
          <w:color w:val="FF0000"/>
          <w:lang w:eastAsia="hr-HR"/>
        </w:rPr>
      </w:pPr>
    </w:p>
    <w:p w:rsidRPr="00CA7A44" w:rsidR="009F6523" w:rsidP="005203EB" w:rsidRDefault="00E77BF1">
      <w:pPr>
        <w:jc w:val="both"/>
        <w:rPr>
          <w:rFonts w:ascii="Sylfaen" w:hAnsi="Sylfaen"/>
        </w:rPr>
      </w:pPr>
      <w:r w:rsidRPr="00CA7A44">
        <w:rPr>
          <w:rFonts w:ascii="Sylfaen" w:hAnsi="Sylfaen"/>
        </w:rPr>
        <w:lastRenderedPageBreak/>
        <w:t xml:space="preserve">5. </w:t>
      </w:r>
      <w:r w:rsidRPr="00CA7A44">
        <w:rPr>
          <w:rFonts w:ascii="Sylfaen" w:hAnsi="Sylfaen"/>
          <w:u w:val="single"/>
        </w:rPr>
        <w:t xml:space="preserve">GLUMINA BANKA d.d. u stečaju c/a ŽELJKO MAŽAR iz Zagreba, Samoborska cesta 136, OIB: 27507646100 i GORAN MAŽAR iz Donje Stubice,  Dubravačka 23a, OIB: </w:t>
      </w:r>
      <w:r w:rsidRPr="00CA7A44" w:rsidR="008F761C">
        <w:rPr>
          <w:rFonts w:ascii="Sylfaen" w:hAnsi="Sylfaen"/>
          <w:u w:val="single"/>
        </w:rPr>
        <w:t xml:space="preserve">52686203363, </w:t>
      </w:r>
      <w:r w:rsidRPr="00CA7A44">
        <w:rPr>
          <w:rFonts w:ascii="Sylfaen" w:hAnsi="Sylfaen"/>
        </w:rPr>
        <w:t>koji postupak se vodi pred Trgovačkim sudom u Zagrebu pod posl. br.: P-121/19</w:t>
      </w:r>
      <w:r w:rsidRPr="00CA7A44" w:rsidR="008F761C">
        <w:rPr>
          <w:rFonts w:ascii="Sylfaen" w:hAnsi="Sylfaen"/>
        </w:rPr>
        <w:t xml:space="preserve">, VPS: </w:t>
      </w:r>
      <w:r w:rsidRPr="00CA7A44" w:rsidR="002F607F">
        <w:rPr>
          <w:rFonts w:ascii="Sylfaen" w:hAnsi="Sylfaen"/>
        </w:rPr>
        <w:t>340.035,23 EUR-a</w:t>
      </w:r>
    </w:p>
    <w:p w:rsidRPr="00CA7A44" w:rsidR="002F607F" w:rsidP="007C4C73" w:rsidRDefault="002F607F">
      <w:pPr>
        <w:jc w:val="both"/>
        <w:rPr>
          <w:rFonts w:ascii="Sylfaen" w:hAnsi="Sylfaen"/>
          <w:u w:val="single"/>
        </w:rPr>
      </w:pPr>
    </w:p>
    <w:p w:rsidRPr="00CA7A44" w:rsidR="002F607F" w:rsidP="007C4C73" w:rsidRDefault="00CA7A44">
      <w:pPr>
        <w:jc w:val="both"/>
        <w:rPr>
          <w:rFonts w:ascii="Sylfaen" w:hAnsi="Sylfaen"/>
        </w:rPr>
      </w:pPr>
      <w:r>
        <w:rPr>
          <w:rFonts w:ascii="Sylfaen" w:hAnsi="Sylfaen"/>
        </w:rPr>
        <w:t xml:space="preserve">Prema izvještaju punomoćnika stečajnog dužnika navodi se kako slijedi. </w:t>
      </w:r>
      <w:r w:rsidRPr="00CA7A44" w:rsidR="002F607F">
        <w:rPr>
          <w:rFonts w:ascii="Sylfaen" w:hAnsi="Sylfaen"/>
        </w:rPr>
        <w:t xml:space="preserve">Parnični postupak je pokrenut tužbom od 13.11.2003. g. pred Trgovačkim sudom u Zagrebu, a radi isplate potraživanja po Ugovoru o preuzimanju duga, kratkoročnom kreditu uz valutnu klauzulu i jamstvu br. 980005 i Ugovoru o preuzimanju duga, kratkoročnom kreditu uz valutnu klauzulu i jamstvu br. 980020.U tijeku postupka tuženici spore visinu potraživanja te stavljaju procesnopravne prigovore. Tužitelj je u spis dostavio dokumentaciju kojom se dokazuje osnovanost potraživanja i odgovara na prigovore tuženika (te je po potrebi predloženo izvršiti i uvid u spise predmeta iz kojih je dostavljena dokumentacija). U tijeku postupka provedeno je vještačenje na okolnost visine potraživanja tužitelja. Podneskom od 09.03.2017. g. visina tužbenog zahtjeva je usklađena prema izračunu vještaka na iznos od 340.035,23 EUR-a s p.p. u kunskoj protuvrijednosti na dan isplate.Vještak je saslušan na ročištu 21.03.2017. g. Prvostupanjski postupak je u tijeku. Zadnje ročište je održano 02. listopada 2019. g., a novo ročište je određeno za 20. </w:t>
      </w:r>
      <w:r w:rsidRPr="00CA7A44" w:rsidR="007C4C73">
        <w:rPr>
          <w:rFonts w:ascii="Sylfaen" w:hAnsi="Sylfaen"/>
        </w:rPr>
        <w:t>12.</w:t>
      </w:r>
      <w:r w:rsidRPr="00CA7A44" w:rsidR="002F607F">
        <w:rPr>
          <w:rFonts w:ascii="Sylfaen" w:hAnsi="Sylfaen"/>
        </w:rPr>
        <w:t xml:space="preserve"> 2019. g. Glavna rasprava bi mogla biti zaključena u skorije vrijeme (a ako ne budu provođeni daljnji dokazi, sud bi glavnu raspravu mogao zaključiti na ročištu 20. prosinca 2019. g.). Obzirom je u tijeku prvostupanjski postupak ne mogu se iznositi pretpostavke o konačnom ishodu spora.  Nadalje, u tijeku postupka tuženici su predlagali mirno rješenje spora i dostavili ponudu konačno specificiranu u prijedlogu od 15. listopada 2019.</w:t>
      </w:r>
      <w:r>
        <w:rPr>
          <w:rFonts w:ascii="Sylfaen" w:hAnsi="Sylfaen"/>
        </w:rPr>
        <w:t xml:space="preserve"> god. te je sud pozvao stečajnog dužnika na očitovanje glede prihvata nagodbe.</w:t>
      </w:r>
      <w:r w:rsidRPr="00CA7A44" w:rsidR="002F607F">
        <w:rPr>
          <w:rFonts w:ascii="Sylfaen" w:hAnsi="Sylfaen"/>
        </w:rPr>
        <w:t xml:space="preserve"> </w:t>
      </w:r>
    </w:p>
    <w:p w:rsidRPr="00CA7A44" w:rsidR="002F607F" w:rsidP="005203EB" w:rsidRDefault="002F607F">
      <w:pPr>
        <w:jc w:val="both"/>
        <w:rPr>
          <w:rFonts w:ascii="Sylfaen" w:hAnsi="Sylfaen"/>
        </w:rPr>
      </w:pPr>
    </w:p>
    <w:p w:rsidRPr="00CA7A44" w:rsidR="007C4C73" w:rsidP="005203EB" w:rsidRDefault="007C4C73">
      <w:pPr>
        <w:jc w:val="both"/>
        <w:rPr>
          <w:rFonts w:ascii="Sylfaen" w:hAnsi="Sylfaen"/>
        </w:rPr>
      </w:pPr>
      <w:r w:rsidRPr="00CA7A44">
        <w:rPr>
          <w:rFonts w:ascii="Sylfaen" w:hAnsi="Sylfaen"/>
        </w:rPr>
        <w:t xml:space="preserve">U prijedlogu </w:t>
      </w:r>
      <w:r w:rsidR="00CA7A44">
        <w:rPr>
          <w:rFonts w:ascii="Sylfaen" w:hAnsi="Sylfaen"/>
        </w:rPr>
        <w:t>tuženika Željka Mažar i Goran Mažar</w:t>
      </w:r>
      <w:r w:rsidRPr="00CA7A44">
        <w:rPr>
          <w:rFonts w:ascii="Sylfaen" w:hAnsi="Sylfaen"/>
        </w:rPr>
        <w:t xml:space="preserve"> za sklapanje sudske nagodbe naznačeno da bi tuženi isplatili tužitelju iznos od 500.000,00 kn u </w:t>
      </w:r>
      <w:r w:rsidRPr="00CA7A44" w:rsidR="00827821">
        <w:rPr>
          <w:rFonts w:ascii="Sylfaen" w:hAnsi="Sylfaen"/>
        </w:rPr>
        <w:t xml:space="preserve">roku od 6 mjeseci od sklapanja sudske nagodbe, a nakon koje uplate iznosa od 500.000,00 kn bi stečajni dužnik kao tužitelj bio obvezan izdati brisovno očitovanje odnosno ovlastiti tuženika Željka Mažar da ishodi brisanje prava vlasništva s imena tužitelja Glumina banka d.d. u stečaju i upis prava vlasništva na ime tuženika Željka Mažar na nekretnini </w:t>
      </w:r>
      <w:r w:rsidRPr="00CA7A44" w:rsidR="008F085E">
        <w:rPr>
          <w:rFonts w:ascii="Sylfaen" w:hAnsi="Sylfaen"/>
        </w:rPr>
        <w:t>upisanoj u zemljišne knjige Općinskog građanskog suda u Zagrebu, Zemljišnoknjižni odjel Zagreb, zk. ul. 2024. k.o. Stenjevec,  kč.br. 280/5 - kuća u Zagrebu, Samoborska br. 136, tlocrtne površine 48 čm i dvorište, površine 138 čhv, a na kojoj nekretnini je u korist tužitelja ovdje stečajnog dužnika izvršen prijenos vlasništva radi osiguranja tražbine koja je predmetom parničnog postupka. Nakon što tužitelj izda tuženicima brisovno očitovanje, tuženici se ob</w:t>
      </w:r>
      <w:r w:rsidR="001D5A02">
        <w:rPr>
          <w:rFonts w:ascii="Sylfaen" w:hAnsi="Sylfaen"/>
        </w:rPr>
        <w:t>vezuju tužitelju u roku od jedne</w:t>
      </w:r>
      <w:r w:rsidRPr="00CA7A44" w:rsidR="008F085E">
        <w:rPr>
          <w:rFonts w:ascii="Sylfaen" w:hAnsi="Sylfaen"/>
        </w:rPr>
        <w:t xml:space="preserve"> godina od dana uknjižbe prava vlasništva na navedenoj nekretnini na ime tuženika Željka Mažar isplatiti stečajnom dužniku dodatni iznos od 250.000,00 kn na žiro račun.  </w:t>
      </w:r>
      <w:r w:rsidRPr="00CA7A44" w:rsidR="00827821">
        <w:rPr>
          <w:rFonts w:ascii="Sylfaen" w:hAnsi="Sylfaen"/>
        </w:rPr>
        <w:t xml:space="preserve">  </w:t>
      </w:r>
    </w:p>
    <w:p w:rsidRPr="00CA7A44" w:rsidR="007C4C73" w:rsidP="005203EB" w:rsidRDefault="007C4C73">
      <w:pPr>
        <w:jc w:val="both"/>
        <w:rPr>
          <w:rFonts w:ascii="Sylfaen" w:hAnsi="Sylfaen"/>
          <w:u w:val="single"/>
        </w:rPr>
      </w:pPr>
    </w:p>
    <w:p w:rsidRPr="00CA7A44" w:rsidR="002F607F" w:rsidP="005203EB" w:rsidRDefault="002F607F">
      <w:pPr>
        <w:jc w:val="both"/>
        <w:rPr>
          <w:rFonts w:ascii="Sylfaen" w:hAnsi="Sylfaen"/>
        </w:rPr>
      </w:pPr>
      <w:r w:rsidRPr="00CA7A44">
        <w:rPr>
          <w:rFonts w:ascii="Sylfaen" w:hAnsi="Sylfaen"/>
        </w:rPr>
        <w:t xml:space="preserve">Na nekretninama u vlasništvu tuženika upisanim u zemljišne knjige Općinskog građanskog suda u Zagrebu, Zemljišnoknjižni odjel Zagreb, zk. ul. 2024. k.o. Stenjevec,  kč.br. 280/5 - kuća u Zagrebu, Samoborska br. 136, tlocrtne površine 48 čm i dvorište, površine 138 čhv, preneseno je </w:t>
      </w:r>
      <w:r w:rsidRPr="00CA7A44">
        <w:rPr>
          <w:rFonts w:ascii="Sylfaen" w:hAnsi="Sylfaen"/>
        </w:rPr>
        <w:lastRenderedPageBreak/>
        <w:t>vlasništvo radi osiguranja (kao vlasnik upisana je Glumina banka d.d. uz zabilježbu da je temeljem čl. 274 Ovršnog zakona prijenos vlasništva izvršen radi osiguranja novčane tražbine s imena i vlasništva Željka Mažara, Sporazum radi osiguranja novčane tražbine prijenosom vlasništva potvrđen je po javnoj bilježnici Ljubici Jožinec iz Samobora dana 10. veljače 1998. g.)</w:t>
      </w:r>
    </w:p>
    <w:p w:rsidRPr="00CA7A44" w:rsidR="002F607F" w:rsidP="005203EB" w:rsidRDefault="002F607F">
      <w:pPr>
        <w:jc w:val="both"/>
        <w:rPr>
          <w:rFonts w:ascii="Sylfaen" w:hAnsi="Sylfaen"/>
        </w:rPr>
      </w:pPr>
      <w:r w:rsidRPr="00CA7A44">
        <w:rPr>
          <w:rFonts w:ascii="Sylfaen" w:hAnsi="Sylfaen"/>
        </w:rPr>
        <w:t xml:space="preserve">Nekretnina je opterećena zalogom Zagrebačke banke d.d. Zagreb koji je zalog upisan pod posl. br. Z-20184/96 primljeno: 31. prosinca 1996. g. </w:t>
      </w:r>
    </w:p>
    <w:p w:rsidRPr="00CA7A44" w:rsidR="008F085E" w:rsidP="005203EB" w:rsidRDefault="008F085E">
      <w:pPr>
        <w:jc w:val="both"/>
        <w:rPr>
          <w:rFonts w:ascii="Sylfaen" w:hAnsi="Sylfaen"/>
        </w:rPr>
      </w:pPr>
    </w:p>
    <w:p w:rsidRPr="00CA7A44" w:rsidR="00CA7A44" w:rsidP="00CA7A44" w:rsidRDefault="00CA7A44">
      <w:pPr>
        <w:jc w:val="both"/>
        <w:rPr>
          <w:rFonts w:ascii="Sylfaen" w:hAnsi="Sylfaen"/>
        </w:rPr>
      </w:pPr>
      <w:r w:rsidRPr="00CA7A44">
        <w:rPr>
          <w:rFonts w:ascii="Sylfaen" w:hAnsi="Sylfaen"/>
        </w:rPr>
        <w:t>Nastavno na dostavljeni prijedlog radi mirnog rješenja spora skreće se pozornost kako je prema sadržaju prijedloga (ne ulazeći u ukupno predloženi iznos za isplatu) razvidno da nakon isplate iznosa od 500.000,00 kn obveza na isplatu daljnjeg iznosa od 250.000,00 kn ostaje  bez ikakvog osiguranja naplate. Obzirom na navedeno (ako odbor vjerovnika prihvati prijedlog za isplatu iznosa koji nude tuženici) smatra se oportunim izdavanje brisovnog očitovanja vezati bar za isplatu tog ukupnog iznosa iz nagodbe (pod uvjetom, ako bi isti bio isplaćen u rokovima iz nagodbe).</w:t>
      </w:r>
    </w:p>
    <w:p w:rsidRPr="00CA7A44" w:rsidR="00CA7A44" w:rsidP="005203EB" w:rsidRDefault="00CA7A44">
      <w:pPr>
        <w:jc w:val="both"/>
        <w:rPr>
          <w:rFonts w:ascii="Sylfaen" w:hAnsi="Sylfaen"/>
        </w:rPr>
      </w:pPr>
    </w:p>
    <w:p w:rsidRPr="00CA7A44" w:rsidR="00CA7A44" w:rsidP="005203EB" w:rsidRDefault="008F085E">
      <w:pPr>
        <w:jc w:val="both"/>
        <w:rPr>
          <w:rFonts w:ascii="Sylfaen" w:hAnsi="Sylfaen"/>
        </w:rPr>
      </w:pPr>
      <w:r w:rsidRPr="00CA7A44">
        <w:rPr>
          <w:rFonts w:ascii="Sylfaen" w:hAnsi="Sylfaen"/>
        </w:rPr>
        <w:t>U navedenom smjeru kako je sud u predmetnom postupku pozvao stečajnog dužnika kao tužitelja da se izjasni o prijedlog</w:t>
      </w:r>
      <w:r w:rsidRPr="00CA7A44" w:rsidR="00CA7A44">
        <w:rPr>
          <w:rFonts w:ascii="Sylfaen" w:hAnsi="Sylfaen"/>
        </w:rPr>
        <w:t xml:space="preserve">u za mirno rješenje spora to je </w:t>
      </w:r>
      <w:r w:rsidR="001D5A02">
        <w:rPr>
          <w:rFonts w:ascii="Sylfaen" w:hAnsi="Sylfaen"/>
        </w:rPr>
        <w:t xml:space="preserve">od strane punomoćnika tužitelja stečajnog dužnika </w:t>
      </w:r>
      <w:r w:rsidRPr="00CA7A44" w:rsidR="00CA7A44">
        <w:rPr>
          <w:rFonts w:ascii="Sylfaen" w:hAnsi="Sylfaen"/>
        </w:rPr>
        <w:t xml:space="preserve">sačinjen </w:t>
      </w:r>
      <w:r w:rsidRPr="00CA7A44">
        <w:rPr>
          <w:rFonts w:ascii="Sylfaen" w:hAnsi="Sylfaen"/>
        </w:rPr>
        <w:t xml:space="preserve">sadržaj sudske nagodbe, eventualno da odbor vjerovnika stečajnog </w:t>
      </w:r>
      <w:r w:rsidRPr="00CA7A44" w:rsidR="00CA7A44">
        <w:rPr>
          <w:rFonts w:ascii="Sylfaen" w:hAnsi="Sylfaen"/>
        </w:rPr>
        <w:t>dužnika prihvati sklapanje iste, a koja se dostavlja u cijelosti u prilogu ovog izvješća,  a u koju je uvršten ponuđeni iznos za isplatu, ali se izdavanje brisovnog očitovanja veže za isplatu ukupno ponuđenog iznosa iz prijedloga tuženika</w:t>
      </w:r>
      <w:r w:rsidR="001D5A02">
        <w:rPr>
          <w:rFonts w:ascii="Sylfaen" w:hAnsi="Sylfaen"/>
        </w:rPr>
        <w:t xml:space="preserve"> odnosno 750.000,00 kn u roku od šest mjeseci od sklapanja nagodbe</w:t>
      </w:r>
      <w:r w:rsidRPr="00CA7A44" w:rsidR="00CA7A44">
        <w:rPr>
          <w:rFonts w:ascii="Sylfaen" w:hAnsi="Sylfaen"/>
        </w:rPr>
        <w:t>, te regulira obveza tuženika za slučaj neispunjenja nagodbom preuzete obveze. </w:t>
      </w:r>
    </w:p>
    <w:p w:rsidRPr="00F33DE6" w:rsidR="002F607F" w:rsidP="00F33DE6" w:rsidRDefault="002F607F">
      <w:pPr>
        <w:jc w:val="both"/>
        <w:rPr>
          <w:rFonts w:ascii="Sylfaen" w:hAnsi="Sylfaen"/>
          <w:color w:val="FF0000"/>
        </w:rPr>
      </w:pPr>
    </w:p>
    <w:p w:rsidRPr="00CA7A44" w:rsidR="002F607F" w:rsidP="00627750" w:rsidRDefault="00775026">
      <w:pPr>
        <w:rPr>
          <w:rFonts w:ascii="Sylfaen" w:hAnsi="Sylfaen"/>
        </w:rPr>
      </w:pPr>
      <w:r w:rsidRPr="00CA7A44">
        <w:rPr>
          <w:rFonts w:ascii="Sylfaen" w:hAnsi="Sylfaen"/>
        </w:rPr>
        <w:t>DOKAZ:</w:t>
      </w:r>
      <w:r w:rsidRPr="00CA7A44" w:rsidR="008F085E">
        <w:rPr>
          <w:rFonts w:ascii="Sylfaen" w:hAnsi="Sylfaen"/>
        </w:rPr>
        <w:t xml:space="preserve"> prijedlog za mirno rješenje spora Željko Mažar i Goran Mažar od dana 15.10.2019. god.</w:t>
      </w:r>
      <w:r w:rsidRPr="00CA7A44">
        <w:rPr>
          <w:rFonts w:ascii="Sylfaen" w:hAnsi="Sylfaen"/>
        </w:rPr>
        <w:t xml:space="preserve"> </w:t>
      </w:r>
    </w:p>
    <w:p w:rsidRPr="00CA7A44" w:rsidR="00CA7A44" w:rsidP="00627750" w:rsidRDefault="00CA7A44">
      <w:pPr>
        <w:rPr>
          <w:rFonts w:ascii="Sylfaen" w:hAnsi="Sylfaen"/>
        </w:rPr>
      </w:pPr>
      <w:r w:rsidRPr="00CA7A44">
        <w:rPr>
          <w:rFonts w:ascii="Sylfaen" w:hAnsi="Sylfaen"/>
        </w:rPr>
        <w:tab/>
        <w:t xml:space="preserve">   nacrt prijedloga nagodbe od strane punomoćnika stečajnog dužnika </w:t>
      </w:r>
    </w:p>
    <w:p w:rsidR="002F607F" w:rsidP="00627750" w:rsidRDefault="002F607F">
      <w:pPr>
        <w:rPr>
          <w:rFonts w:ascii="Sylfaen" w:hAnsi="Sylfaen"/>
          <w:u w:val="single"/>
        </w:rPr>
      </w:pPr>
    </w:p>
    <w:p w:rsidRPr="00444C17" w:rsidR="000C0DEC" w:rsidP="00444C17" w:rsidRDefault="000C0DEC">
      <w:pPr>
        <w:jc w:val="both"/>
        <w:rPr>
          <w:rFonts w:ascii="Sylfaen" w:hAnsi="Sylfaen"/>
          <w:u w:val="single"/>
        </w:rPr>
      </w:pPr>
      <w:r w:rsidRPr="00444C17">
        <w:rPr>
          <w:rFonts w:ascii="Sylfaen" w:hAnsi="Sylfaen"/>
          <w:u w:val="single"/>
        </w:rPr>
        <w:t xml:space="preserve">6. </w:t>
      </w:r>
      <w:r w:rsidRPr="00444C17" w:rsidR="00610207">
        <w:rPr>
          <w:rFonts w:ascii="Sylfaen" w:hAnsi="Sylfaen"/>
          <w:u w:val="single"/>
        </w:rPr>
        <w:t>ANTO IVANOVIĆ iz Samobora, Ul. kardinala Franje Kuharića 1a, OIB: 39202089683  c/a GLUMINA BANKA d.d. u stečaju i Stečajna masa iza OKTAL d.o.o., Samobor, Ulica 9, OIB: 63768852811</w:t>
      </w:r>
      <w:r w:rsidRPr="00444C17" w:rsidR="00444C17">
        <w:rPr>
          <w:rFonts w:ascii="Sylfaen" w:hAnsi="Sylfaen"/>
        </w:rPr>
        <w:t>,</w:t>
      </w:r>
      <w:r w:rsidRPr="00444C17" w:rsidR="00610207">
        <w:rPr>
          <w:rFonts w:ascii="Sylfaen" w:hAnsi="Sylfaen"/>
        </w:rPr>
        <w:t xml:space="preserve"> radi proglašenja ovrhe nedopuštenom, koji postupak se vodio pred Trgovačkim sudom u Zagrebu, posl. br.: P-1556/2013</w:t>
      </w:r>
      <w:r w:rsidRPr="00444C17" w:rsidR="00444C17">
        <w:rPr>
          <w:rFonts w:ascii="Sylfaen" w:hAnsi="Sylfaen"/>
        </w:rPr>
        <w:t xml:space="preserve"> te postupak ovrhe na imovini tužitelja </w:t>
      </w:r>
      <w:r w:rsidR="00444C17">
        <w:rPr>
          <w:rFonts w:ascii="Sylfaen" w:hAnsi="Sylfaen"/>
        </w:rPr>
        <w:t xml:space="preserve">za korist stečajnog dužnika </w:t>
      </w:r>
      <w:r w:rsidRPr="00444C17" w:rsidR="00444C17">
        <w:rPr>
          <w:rFonts w:ascii="Sylfaen" w:hAnsi="Sylfaen"/>
        </w:rPr>
        <w:t xml:space="preserve">koji se vodi pred </w:t>
      </w:r>
      <w:r w:rsidR="00444C17">
        <w:rPr>
          <w:rFonts w:ascii="Sylfaen" w:hAnsi="Sylfaen"/>
        </w:rPr>
        <w:t>Općinskim sudom</w:t>
      </w:r>
      <w:r w:rsidRPr="00444C17" w:rsidR="00444C17">
        <w:rPr>
          <w:rFonts w:ascii="Sylfaen" w:hAnsi="Sylfaen"/>
        </w:rPr>
        <w:t xml:space="preserve"> u Novom Zagrebu, Stalna služba u Samoboru broj</w:t>
      </w:r>
      <w:r w:rsidRPr="00F33DE6" w:rsidR="00F33DE6">
        <w:rPr>
          <w:rFonts w:ascii="Sylfaen" w:hAnsi="Sylfaen"/>
        </w:rPr>
        <w:t xml:space="preserve"> </w:t>
      </w:r>
      <w:r w:rsidRPr="00444C17" w:rsidR="00F33DE6">
        <w:rPr>
          <w:rFonts w:ascii="Sylfaen" w:hAnsi="Sylfaen"/>
        </w:rPr>
        <w:t>Pu Ovr-24816/2015</w:t>
      </w:r>
      <w:r w:rsidRPr="00F33DE6" w:rsidR="00F33DE6">
        <w:rPr>
          <w:rFonts w:ascii="Sylfaen" w:hAnsi="Sylfaen"/>
        </w:rPr>
        <w:t xml:space="preserve"> </w:t>
      </w:r>
      <w:r w:rsidRPr="00444C17" w:rsidR="00444C17">
        <w:rPr>
          <w:rFonts w:ascii="Sylfaen" w:hAnsi="Sylfaen"/>
        </w:rPr>
        <w:t xml:space="preserve"> ( Općinski sud</w:t>
      </w:r>
      <w:r w:rsidR="00F33DE6">
        <w:rPr>
          <w:rFonts w:ascii="Sylfaen" w:hAnsi="Sylfaen"/>
        </w:rPr>
        <w:t xml:space="preserve"> u Samoboru  </w:t>
      </w:r>
      <w:r w:rsidRPr="00444C17" w:rsidR="00F33DE6">
        <w:rPr>
          <w:rFonts w:ascii="Sylfaen" w:hAnsi="Sylfaen"/>
        </w:rPr>
        <w:t xml:space="preserve">Ovr-1666/11 </w:t>
      </w:r>
      <w:r w:rsidR="00F33DE6">
        <w:rPr>
          <w:rFonts w:ascii="Sylfaen" w:hAnsi="Sylfaen"/>
        </w:rPr>
        <w:t xml:space="preserve"> </w:t>
      </w:r>
      <w:r w:rsidRPr="00444C17" w:rsidR="00444C17">
        <w:rPr>
          <w:rFonts w:ascii="Sylfaen" w:hAnsi="Sylfaen"/>
        </w:rPr>
        <w:t xml:space="preserve">)  </w:t>
      </w:r>
      <w:r w:rsidRPr="00444C17" w:rsidR="00444C17">
        <w:rPr>
          <w:rFonts w:ascii="Sylfaen" w:hAnsi="Sylfaen"/>
          <w:u w:val="single"/>
        </w:rPr>
        <w:t xml:space="preserve"> </w:t>
      </w:r>
    </w:p>
    <w:p w:rsidR="00610207" w:rsidP="00627750" w:rsidRDefault="00610207">
      <w:pPr>
        <w:rPr>
          <w:rFonts w:ascii="Sylfaen" w:hAnsi="Sylfaen"/>
          <w:u w:val="single"/>
        </w:rPr>
      </w:pPr>
    </w:p>
    <w:p w:rsidR="00DD15C1" w:rsidP="00610207" w:rsidRDefault="00610207">
      <w:pPr>
        <w:jc w:val="both"/>
        <w:rPr>
          <w:rFonts w:ascii="Sylfaen" w:hAnsi="Sylfaen"/>
        </w:rPr>
      </w:pPr>
      <w:r w:rsidRPr="00610207">
        <w:rPr>
          <w:rFonts w:ascii="Sylfaen" w:hAnsi="Sylfaen"/>
        </w:rPr>
        <w:t>Presudom</w:t>
      </w:r>
      <w:r>
        <w:rPr>
          <w:rFonts w:ascii="Sylfaen" w:hAnsi="Sylfaen"/>
        </w:rPr>
        <w:t xml:space="preserve"> Visokog trgovačkog suda Republike Hrvatske, Pž-5388/2017 od dana 30. svibnja 2019. god. odbijena je tužiteljeva žalba kao neosnovana i potvrđena je prvostupanjska presuda Trgovačkog suda u Zagrebu,  posl. br.: P-1556/2013 od dana 24. siječnja 2014. god. u pobijanoj točki II izreke, a kojom prvostupanjskom presudom u točki II je suđeno da se odbija tužbeni zahtjev </w:t>
      </w:r>
      <w:r w:rsidR="009E69CB">
        <w:rPr>
          <w:rFonts w:ascii="Sylfaen" w:hAnsi="Sylfaen"/>
        </w:rPr>
        <w:t xml:space="preserve">koji glasi </w:t>
      </w:r>
      <w:r w:rsidR="00DD15C1">
        <w:rPr>
          <w:rFonts w:ascii="Sylfaen" w:hAnsi="Sylfaen"/>
        </w:rPr>
        <w:t xml:space="preserve">"Proglašava se nedopuštenom ovrha određena rješenjem o ovrsi Trgovačkog suda u Zagrebu poslovni broj Ovr-5826/11 od 16.11.2011. god. na odgovarajućem suvlasničkom djelu nekretnine u višetambenoj zgradi u Samoboru, Ulica kardinala Franje Kuharića 1 i 1a, </w:t>
      </w:r>
      <w:r w:rsidR="00DD15C1">
        <w:rPr>
          <w:rFonts w:ascii="Sylfaen" w:hAnsi="Sylfaen"/>
        </w:rPr>
        <w:lastRenderedPageBreak/>
        <w:t>tlocrtne površine 595m2, i dvorišta ukupne površine 623m2, a koja zgrada je sagrađena na zk. čestici broj 2563/1, upisana u zk.ul.br. 6576, k.o. Samobor i to: za posebnu vlasničku jedinicu podrumsko garažno mjesto br. 1. u podrumu, neto korisne površine 11,50m2, za posebnu vlasničku jedinicu podrumsko garažno mjesto br. 2. u podrumu, neto korisne površine 11,50m2 i  za posebnu vlasničku jedinicu podrumsko garažno mjesto br. 1. u podrumu, neto korisne površine 11,34 m2", nekretnina pobliže opisana izrekom citirane presude.</w:t>
      </w:r>
    </w:p>
    <w:p w:rsidR="00DD15C1" w:rsidP="00610207" w:rsidRDefault="00DD15C1">
      <w:pPr>
        <w:jc w:val="both"/>
        <w:rPr>
          <w:rFonts w:ascii="Sylfaen" w:hAnsi="Sylfaen"/>
        </w:rPr>
      </w:pPr>
    </w:p>
    <w:p w:rsidR="00610207" w:rsidP="00D97319" w:rsidRDefault="00DD15C1">
      <w:pPr>
        <w:jc w:val="both"/>
        <w:rPr>
          <w:rFonts w:ascii="Sylfaen" w:hAnsi="Sylfaen"/>
        </w:rPr>
      </w:pPr>
      <w:r w:rsidRPr="00D97319">
        <w:rPr>
          <w:rFonts w:ascii="Sylfaen" w:hAnsi="Sylfaen"/>
        </w:rPr>
        <w:t>Citiranom presudom Visokog trgovačkog suda Republike Hrvatske, Pž-5388/2017 od dana 30. svibnja 2019. god. uvažena je žalba stečajnog dužnika kao prvotuženika te je preinačena presuda Trgovačkog suda u Zagrebu,  posl. br.: P-1556/2013 od dana 24. siječnja 2014. god. u pobijanoj točki I i III točke izreke te je suđeno: "Odbija se kao neosnovan tužbeni zahtjev koji glasi</w:t>
      </w:r>
      <w:r w:rsidRPr="00D97319" w:rsidR="00D97319">
        <w:rPr>
          <w:rFonts w:ascii="Sylfaen" w:hAnsi="Sylfaen"/>
        </w:rPr>
        <w:t>: Proglašava se nedopuštenom ovrha određena rješenjem o ovrsi Trgovačkog suda u Zagrebu poslovni broj Ovr-5826/11 od 16.11.2011. god. na odgovarajućem suvlasničkom dijelu nekretnine u višestambenoj zgradi u Samoboru, Ulica kardinala Franje Kuharića 1 i 1A, tlocrtne površine 595 m2, i dvorišta ukupne površine 623 m2, a koja zgrada je sagrađena na zk.čestici br. 2563/7 , upisana u zk.ul.br. 6576, k.o. Samobor i to:- 7/100 dijela z.č. 2563/7, u naravi višestambena zgrada u Ulici kardinala Franje Kuharića 1, površine 595 m2, i dvorište površine 623 m2, upisane u zk.ul. 6576, Poduložak 14, k.o. Samobor, na suvlasničkom dijelu uspostavljeno i sa njime povezano vlasništvo posebnog dijela – stan br. 14, ulaz 1A na prvom katu, ukupne neto korisne površine 101,04 m2</w:t>
      </w:r>
      <w:r w:rsidRPr="00D97319">
        <w:rPr>
          <w:rFonts w:ascii="Sylfaen" w:hAnsi="Sylfaen"/>
        </w:rPr>
        <w:t xml:space="preserve">"  </w:t>
      </w:r>
    </w:p>
    <w:p w:rsidR="00D97319" w:rsidP="00D97319" w:rsidRDefault="00D97319">
      <w:pPr>
        <w:jc w:val="both"/>
        <w:rPr>
          <w:rFonts w:ascii="Sylfaen" w:hAnsi="Sylfaen"/>
        </w:rPr>
      </w:pPr>
      <w:r w:rsidRPr="00D97319">
        <w:rPr>
          <w:rFonts w:ascii="Sylfaen" w:hAnsi="Sylfaen"/>
        </w:rPr>
        <w:t>Citiranom presudom Visokog trgovačkog suda Republike Hrvatske, Pž-5388/2017 od dana 30. svibnja 2019. god.</w:t>
      </w:r>
      <w:r>
        <w:rPr>
          <w:rFonts w:ascii="Sylfaen" w:hAnsi="Sylfaen"/>
        </w:rPr>
        <w:t xml:space="preserve"> naloženi je tužitelju naknaditi stečajnom dužniku kao prvotuženiku troškove parničnog postupka u iznosu od 17.950,00 kn.</w:t>
      </w:r>
    </w:p>
    <w:p w:rsidR="00D97319" w:rsidP="00D97319" w:rsidRDefault="00D97319">
      <w:pPr>
        <w:jc w:val="both"/>
        <w:rPr>
          <w:rFonts w:ascii="Sylfaen" w:hAnsi="Sylfaen"/>
        </w:rPr>
      </w:pPr>
    </w:p>
    <w:p w:rsidR="008964AE" w:rsidP="00D97319" w:rsidRDefault="00D97319">
      <w:pPr>
        <w:jc w:val="both"/>
        <w:rPr>
          <w:rFonts w:ascii="Sylfaen" w:hAnsi="Sylfaen"/>
        </w:rPr>
      </w:pPr>
      <w:r>
        <w:rPr>
          <w:rFonts w:ascii="Sylfaen" w:hAnsi="Sylfaen"/>
        </w:rPr>
        <w:t xml:space="preserve">Na citiranu presudu tužitelj </w:t>
      </w:r>
      <w:r w:rsidR="00444C17">
        <w:rPr>
          <w:rFonts w:ascii="Sylfaen" w:hAnsi="Sylfaen"/>
        </w:rPr>
        <w:t>je podnio reviziju koji postupak</w:t>
      </w:r>
      <w:r>
        <w:rPr>
          <w:rFonts w:ascii="Sylfaen" w:hAnsi="Sylfaen"/>
        </w:rPr>
        <w:t xml:space="preserve"> se vodi pred Vrhovnim sudom Republike Hrvatske od dana 28.11.2019. god. pod brojem Rev-4941/2019 te do danas nije donesena odluka po reviziji.</w:t>
      </w:r>
      <w:r w:rsidR="0009363A">
        <w:rPr>
          <w:rFonts w:ascii="Sylfaen" w:hAnsi="Sylfaen"/>
        </w:rPr>
        <w:t xml:space="preserve"> U reviziji je tužitelj dostavio postojeću sudsku praksu kojom smatra od</w:t>
      </w:r>
      <w:r w:rsidR="00C55390">
        <w:rPr>
          <w:rFonts w:ascii="Sylfaen" w:hAnsi="Sylfaen"/>
        </w:rPr>
        <w:t xml:space="preserve">luku nezakonitom. </w:t>
      </w:r>
    </w:p>
    <w:p w:rsidR="008964AE" w:rsidP="00D97319" w:rsidRDefault="00C55390">
      <w:pPr>
        <w:jc w:val="both"/>
        <w:rPr>
          <w:rFonts w:ascii="Sylfaen" w:hAnsi="Sylfaen"/>
        </w:rPr>
      </w:pPr>
      <w:r>
        <w:rPr>
          <w:rFonts w:ascii="Sylfaen" w:hAnsi="Sylfaen"/>
        </w:rPr>
        <w:t xml:space="preserve">Od strane punomoćnice tužitelja zaprimila sam </w:t>
      </w:r>
      <w:r w:rsidR="008F085E">
        <w:rPr>
          <w:rFonts w:ascii="Sylfaen" w:hAnsi="Sylfaen"/>
        </w:rPr>
        <w:t>pr</w:t>
      </w:r>
      <w:r w:rsidR="008964AE">
        <w:rPr>
          <w:rFonts w:ascii="Sylfaen" w:hAnsi="Sylfaen"/>
        </w:rPr>
        <w:t>ijedlog za mirno rješenje spora, obzirom na izjavljeni izvanredni pravni lijek kao i postojeću sudsku praksu Vrhovnog suda Republike Hrvatske na koju se ista poziva da se sklopi</w:t>
      </w:r>
      <w:r w:rsidR="00EE18F5">
        <w:rPr>
          <w:rFonts w:ascii="Sylfaen" w:hAnsi="Sylfaen"/>
        </w:rPr>
        <w:t xml:space="preserve"> sudska ili izvansudska</w:t>
      </w:r>
      <w:r w:rsidR="008964AE">
        <w:rPr>
          <w:rFonts w:ascii="Sylfaen" w:hAnsi="Sylfaen"/>
        </w:rPr>
        <w:t xml:space="preserve"> nagodba na način da stečajni dužnik povuče prijedlog za ovrhu</w:t>
      </w:r>
      <w:r w:rsidR="00EE18F5">
        <w:rPr>
          <w:rFonts w:ascii="Sylfaen" w:hAnsi="Sylfaen"/>
        </w:rPr>
        <w:t xml:space="preserve"> na svim nekretninama (stan i tri garažna mjesta) </w:t>
      </w:r>
      <w:r w:rsidR="008964AE">
        <w:rPr>
          <w:rFonts w:ascii="Sylfaen" w:hAnsi="Sylfaen"/>
        </w:rPr>
        <w:t xml:space="preserve">, a tužitelj naknadi </w:t>
      </w:r>
      <w:r w:rsidR="001D5A02">
        <w:rPr>
          <w:rFonts w:ascii="Sylfaen" w:hAnsi="Sylfaen"/>
        </w:rPr>
        <w:t xml:space="preserve">stečajnom dužniku </w:t>
      </w:r>
      <w:r w:rsidR="008964AE">
        <w:rPr>
          <w:rFonts w:ascii="Sylfaen" w:hAnsi="Sylfaen"/>
        </w:rPr>
        <w:t>troškove</w:t>
      </w:r>
      <w:r w:rsidR="00EE18F5">
        <w:rPr>
          <w:rFonts w:ascii="Sylfaen" w:hAnsi="Sylfaen"/>
        </w:rPr>
        <w:t xml:space="preserve"> parničnog postupka utvrđene pravomoćnom presudom uvećano za zatezne kamate od 08.06.2019. god. kao i troškove ovršnog</w:t>
      </w:r>
      <w:r w:rsidR="008964AE">
        <w:rPr>
          <w:rFonts w:ascii="Sylfaen" w:hAnsi="Sylfaen"/>
        </w:rPr>
        <w:t xml:space="preserve"> postupka</w:t>
      </w:r>
      <w:r w:rsidR="00EE18F5">
        <w:rPr>
          <w:rFonts w:ascii="Sylfaen" w:hAnsi="Sylfaen"/>
        </w:rPr>
        <w:t xml:space="preserve"> i sudske pristojbe, </w:t>
      </w:r>
      <w:r w:rsidR="008964AE">
        <w:rPr>
          <w:rFonts w:ascii="Sylfaen" w:hAnsi="Sylfaen"/>
        </w:rPr>
        <w:t>koji</w:t>
      </w:r>
      <w:r w:rsidR="00EE18F5">
        <w:rPr>
          <w:rFonts w:ascii="Sylfaen" w:hAnsi="Sylfaen"/>
        </w:rPr>
        <w:t xml:space="preserve"> ovršni postupak je </w:t>
      </w:r>
      <w:r w:rsidR="008964AE">
        <w:rPr>
          <w:rFonts w:ascii="Sylfaen" w:hAnsi="Sylfaen"/>
        </w:rPr>
        <w:t xml:space="preserve"> danas u prekidu.</w:t>
      </w:r>
    </w:p>
    <w:p w:rsidR="008964AE" w:rsidP="00D97319" w:rsidRDefault="008964AE">
      <w:pPr>
        <w:jc w:val="both"/>
        <w:rPr>
          <w:rFonts w:ascii="Sylfaen" w:hAnsi="Sylfaen"/>
        </w:rPr>
      </w:pPr>
    </w:p>
    <w:p w:rsidR="00D97319" w:rsidP="00D97319" w:rsidRDefault="008964AE">
      <w:pPr>
        <w:jc w:val="both"/>
        <w:rPr>
          <w:rFonts w:ascii="Sylfaen" w:hAnsi="Sylfaen"/>
        </w:rPr>
      </w:pPr>
      <w:r>
        <w:rPr>
          <w:rFonts w:ascii="Sylfaen" w:hAnsi="Sylfaen"/>
        </w:rPr>
        <w:t xml:space="preserve">DOKAZ:  </w:t>
      </w:r>
      <w:r w:rsidR="00444C17">
        <w:rPr>
          <w:rFonts w:ascii="Sylfaen" w:hAnsi="Sylfaen"/>
        </w:rPr>
        <w:t>- p</w:t>
      </w:r>
      <w:r w:rsidRPr="00610207" w:rsidR="00444C17">
        <w:rPr>
          <w:rFonts w:ascii="Sylfaen" w:hAnsi="Sylfaen"/>
        </w:rPr>
        <w:t>r</w:t>
      </w:r>
      <w:r w:rsidR="00444C17">
        <w:rPr>
          <w:rFonts w:ascii="Sylfaen" w:hAnsi="Sylfaen"/>
        </w:rPr>
        <w:t>esuda Visokog trgovačkog suda Republike Hrvatske, Pž-5388/2017 od dana 30. svibnja 2019. god.</w:t>
      </w:r>
    </w:p>
    <w:p w:rsidR="00444C17" w:rsidP="00D97319" w:rsidRDefault="00444C17">
      <w:pPr>
        <w:jc w:val="both"/>
        <w:rPr>
          <w:rFonts w:ascii="Sylfaen" w:hAnsi="Sylfaen"/>
        </w:rPr>
      </w:pPr>
      <w:r>
        <w:rPr>
          <w:rFonts w:ascii="Sylfaen" w:hAnsi="Sylfaen"/>
        </w:rPr>
        <w:t>- dopis punomoćnice tužitelja od dana 17.09.2019. god. s prilozima</w:t>
      </w:r>
    </w:p>
    <w:p w:rsidR="00EE18F5" w:rsidP="00D97319" w:rsidRDefault="00EE18F5">
      <w:pPr>
        <w:jc w:val="both"/>
        <w:rPr>
          <w:rFonts w:ascii="Sylfaen" w:hAnsi="Sylfaen"/>
        </w:rPr>
      </w:pPr>
      <w:r>
        <w:rPr>
          <w:rFonts w:ascii="Sylfaen" w:hAnsi="Sylfaen"/>
        </w:rPr>
        <w:t>- dopis punomoćnice tužitelja od dana 06.12.2019. god. s prilozima</w:t>
      </w:r>
    </w:p>
    <w:p w:rsidRPr="00D97319" w:rsidR="00D97319" w:rsidP="00D97319" w:rsidRDefault="00D97319">
      <w:pPr>
        <w:jc w:val="both"/>
        <w:rPr>
          <w:rFonts w:ascii="Sylfaen" w:hAnsi="Sylfaen"/>
        </w:rPr>
      </w:pPr>
    </w:p>
    <w:p w:rsidR="00502DE8" w:rsidP="00502DE8" w:rsidRDefault="00F33DE6">
      <w:pPr>
        <w:jc w:val="both"/>
        <w:rPr>
          <w:rFonts w:ascii="Sylfaen" w:hAnsi="Sylfaen"/>
          <w:u w:val="single"/>
        </w:rPr>
      </w:pPr>
      <w:r>
        <w:rPr>
          <w:rFonts w:ascii="Sylfaen" w:hAnsi="Sylfaen"/>
          <w:u w:val="single"/>
        </w:rPr>
        <w:lastRenderedPageBreak/>
        <w:t>7</w:t>
      </w:r>
      <w:r w:rsidR="00502DE8">
        <w:rPr>
          <w:rFonts w:ascii="Sylfaen" w:hAnsi="Sylfaen"/>
          <w:u w:val="single"/>
        </w:rPr>
        <w:t>. GLUMINA BANKA d.d. u stečaju c/a CONING d.d. u stečaju, Varaždin, A. Šenoe 4.6, OIB: 49557976962, radi utvrđenja postojanja osporene tražbine, koji postupak se vodio pred Trgovačkim sudom u Zagrebu, posl. br.: P-32/2019, VPS: 3.918.753,25 kn</w:t>
      </w:r>
    </w:p>
    <w:p w:rsidR="00CA7A44" w:rsidP="00627750" w:rsidRDefault="00CA7A44">
      <w:pPr>
        <w:rPr>
          <w:rFonts w:ascii="Sylfaen" w:hAnsi="Sylfaen"/>
          <w:u w:val="single"/>
        </w:rPr>
      </w:pPr>
    </w:p>
    <w:p w:rsidR="00502DE8" w:rsidP="00134EC5" w:rsidRDefault="00502DE8">
      <w:pPr>
        <w:jc w:val="both"/>
        <w:rPr>
          <w:rFonts w:ascii="Sylfaen" w:hAnsi="Sylfaen"/>
        </w:rPr>
      </w:pPr>
      <w:r w:rsidRPr="00502DE8">
        <w:rPr>
          <w:rFonts w:ascii="Sylfaen" w:hAnsi="Sylfaen"/>
        </w:rPr>
        <w:t xml:space="preserve">Presudom </w:t>
      </w:r>
      <w:r>
        <w:rPr>
          <w:rFonts w:ascii="Sylfaen" w:hAnsi="Sylfaen"/>
        </w:rPr>
        <w:t xml:space="preserve">i rješenjem </w:t>
      </w:r>
      <w:r w:rsidRPr="00502DE8">
        <w:rPr>
          <w:rFonts w:ascii="Sylfaen" w:hAnsi="Sylfaen"/>
        </w:rPr>
        <w:t xml:space="preserve">Visokog trgovačkog suda </w:t>
      </w:r>
      <w:r>
        <w:rPr>
          <w:rFonts w:ascii="Sylfaen" w:hAnsi="Sylfaen"/>
        </w:rPr>
        <w:t>Republike Hrvatske, pos. br.: Pž-5293/2019 od dana 01.10.2019. god. odbijena je žalba stečajnog dužnika kao tužitelja kao neosnovana te je potvrđena presuda Trgovačkog suda u Varaždinu, posl. br.:</w:t>
      </w:r>
      <w:r w:rsidR="00134EC5">
        <w:rPr>
          <w:rFonts w:ascii="Sylfaen" w:hAnsi="Sylfaen"/>
        </w:rPr>
        <w:t xml:space="preserve"> P-32/2019 od 10 srpnja 2019. god. u djelu točke I izreke kojim je odbijen tužbeni zahtjev za utvrđenje tužiteljeve tražbine u iznosu od 2.086.586,63 kn,  a rješenjem je ukinuta presuda  Trgovačkog suda u Varaždinu, posl. br.: P-32/2019 od 10 srpnja 2019. god. u djelu točke I izreke u dijeku u kojem je odbijen tužbeni zahtjev za utvrđenje postojanja tužiteljeve tražbine u iznosu od 1.832.166,62 kn te u dijelu pod točkom II izreke glede troška postupka i predmet vraćen na ponovni postupak. Prvostupanjski postupak u tijeku.</w:t>
      </w:r>
    </w:p>
    <w:p w:rsidR="00134EC5" w:rsidP="00134EC5" w:rsidRDefault="00134EC5">
      <w:pPr>
        <w:jc w:val="both"/>
        <w:rPr>
          <w:rFonts w:ascii="Sylfaen" w:hAnsi="Sylfaen"/>
        </w:rPr>
      </w:pPr>
    </w:p>
    <w:p w:rsidRPr="00502DE8" w:rsidR="00134EC5" w:rsidP="00134EC5" w:rsidRDefault="00134EC5">
      <w:pPr>
        <w:jc w:val="both"/>
        <w:rPr>
          <w:rFonts w:ascii="Sylfaen" w:hAnsi="Sylfaen"/>
        </w:rPr>
      </w:pPr>
      <w:r>
        <w:rPr>
          <w:rFonts w:ascii="Sylfaen" w:hAnsi="Sylfaen"/>
        </w:rPr>
        <w:t>DOKAZ: presuda</w:t>
      </w:r>
      <w:r w:rsidRPr="00502DE8">
        <w:rPr>
          <w:rFonts w:ascii="Sylfaen" w:hAnsi="Sylfaen"/>
        </w:rPr>
        <w:t xml:space="preserve"> </w:t>
      </w:r>
      <w:r>
        <w:rPr>
          <w:rFonts w:ascii="Sylfaen" w:hAnsi="Sylfaen"/>
        </w:rPr>
        <w:t xml:space="preserve">i rješenje </w:t>
      </w:r>
      <w:r w:rsidRPr="00502DE8">
        <w:rPr>
          <w:rFonts w:ascii="Sylfaen" w:hAnsi="Sylfaen"/>
        </w:rPr>
        <w:t xml:space="preserve">Visokog trgovačkog suda </w:t>
      </w:r>
      <w:r>
        <w:rPr>
          <w:rFonts w:ascii="Sylfaen" w:hAnsi="Sylfaen"/>
        </w:rPr>
        <w:t>Republike Hrvatske, pos. br.: Pž-5293/2019 od dana 01.10.2019. god.</w:t>
      </w:r>
    </w:p>
    <w:p w:rsidR="00502DE8" w:rsidP="00627750" w:rsidRDefault="00502DE8">
      <w:pPr>
        <w:rPr>
          <w:rFonts w:ascii="Sylfaen" w:hAnsi="Sylfaen"/>
          <w:u w:val="single"/>
        </w:rPr>
      </w:pPr>
    </w:p>
    <w:p w:rsidRPr="0037181E" w:rsidR="00502DE8" w:rsidP="0037181E" w:rsidRDefault="00F33DE6">
      <w:pPr>
        <w:jc w:val="both"/>
        <w:rPr>
          <w:rFonts w:ascii="Sylfaen" w:hAnsi="Sylfaen"/>
        </w:rPr>
      </w:pPr>
      <w:r>
        <w:rPr>
          <w:rFonts w:ascii="Sylfaen" w:hAnsi="Sylfaen"/>
          <w:u w:val="single"/>
        </w:rPr>
        <w:t>8</w:t>
      </w:r>
      <w:r w:rsidR="0037181E">
        <w:rPr>
          <w:rFonts w:ascii="Sylfaen" w:hAnsi="Sylfaen"/>
          <w:u w:val="single"/>
        </w:rPr>
        <w:t xml:space="preserve">. GLUMINA BANKA d.d. u stečaju c/a HOSPITALIJA  d.d. u stečaju, Sveta Nedjelja, Samoborski Novaki, Vojvodići bb,  OIB: 52777523545, </w:t>
      </w:r>
      <w:r w:rsidRPr="0037181E" w:rsidR="0037181E">
        <w:rPr>
          <w:rFonts w:ascii="Sylfaen" w:hAnsi="Sylfaen"/>
        </w:rPr>
        <w:t xml:space="preserve">koji stečajni postupak se vodio pred Trgovačkim sudom u Zagrebu, posl. br.: St-2999/2016, VPS: </w:t>
      </w:r>
      <w:r w:rsidR="0037181E">
        <w:rPr>
          <w:rFonts w:ascii="Sylfaen" w:hAnsi="Sylfaen"/>
        </w:rPr>
        <w:t>20</w:t>
      </w:r>
      <w:r w:rsidRPr="0037181E" w:rsidR="0037181E">
        <w:rPr>
          <w:rFonts w:ascii="Sylfaen" w:hAnsi="Sylfaen"/>
        </w:rPr>
        <w:t>.</w:t>
      </w:r>
      <w:r w:rsidR="0037181E">
        <w:rPr>
          <w:rFonts w:ascii="Sylfaen" w:hAnsi="Sylfaen"/>
        </w:rPr>
        <w:t>712</w:t>
      </w:r>
      <w:r w:rsidRPr="0037181E" w:rsidR="0037181E">
        <w:rPr>
          <w:rFonts w:ascii="Sylfaen" w:hAnsi="Sylfaen"/>
        </w:rPr>
        <w:t>.</w:t>
      </w:r>
      <w:r w:rsidR="0037181E">
        <w:rPr>
          <w:rFonts w:ascii="Sylfaen" w:hAnsi="Sylfaen"/>
        </w:rPr>
        <w:t>393</w:t>
      </w:r>
      <w:r w:rsidRPr="0037181E" w:rsidR="0037181E">
        <w:rPr>
          <w:rFonts w:ascii="Sylfaen" w:hAnsi="Sylfaen"/>
        </w:rPr>
        <w:t>,</w:t>
      </w:r>
      <w:r w:rsidR="0037181E">
        <w:rPr>
          <w:rFonts w:ascii="Sylfaen" w:hAnsi="Sylfaen"/>
        </w:rPr>
        <w:t>95</w:t>
      </w:r>
      <w:r w:rsidRPr="0037181E" w:rsidR="0037181E">
        <w:rPr>
          <w:rFonts w:ascii="Sylfaen" w:hAnsi="Sylfaen"/>
        </w:rPr>
        <w:t xml:space="preserve"> kn</w:t>
      </w:r>
    </w:p>
    <w:p w:rsidR="0037181E" w:rsidP="0037181E" w:rsidRDefault="0037181E">
      <w:pPr>
        <w:jc w:val="both"/>
        <w:rPr>
          <w:rFonts w:ascii="Sylfaen" w:hAnsi="Sylfaen"/>
          <w:u w:val="single"/>
        </w:rPr>
      </w:pPr>
    </w:p>
    <w:p w:rsidRPr="0037181E" w:rsidR="0037181E" w:rsidP="0037181E" w:rsidRDefault="0037181E">
      <w:pPr>
        <w:jc w:val="both"/>
        <w:rPr>
          <w:rFonts w:ascii="Sylfaen" w:hAnsi="Sylfaen"/>
        </w:rPr>
      </w:pPr>
      <w:r w:rsidRPr="0037181E">
        <w:rPr>
          <w:rFonts w:ascii="Sylfaen" w:hAnsi="Sylfaen"/>
        </w:rPr>
        <w:t>Rješenjem Trgovačkog suda u Zagrebu, posl. br.</w:t>
      </w:r>
      <w:r w:rsidR="001D5A02">
        <w:rPr>
          <w:rFonts w:ascii="Sylfaen" w:hAnsi="Sylfaen"/>
        </w:rPr>
        <w:t xml:space="preserve"> St-2999/16-45 od 23.09.2019. god. </w:t>
      </w:r>
      <w:r w:rsidRPr="0037181E">
        <w:rPr>
          <w:rFonts w:ascii="Sylfaen" w:hAnsi="Sylfaen"/>
        </w:rPr>
        <w:t>otvoren je stečajni postupak nad stečajnim dužnikom HOSPITALIJA  d.d. u stečaju, Sveta Nedjelja, Samoborski Novaki, Vojvodići bb,  OIB: 52777523545 te je stečajni dužnik kao stečajni vjerovnik podnio pr</w:t>
      </w:r>
      <w:r w:rsidR="001D5A02">
        <w:rPr>
          <w:rFonts w:ascii="Sylfaen" w:hAnsi="Sylfaen"/>
        </w:rPr>
        <w:t>ijavu potraživanja u iznosu od 20.712.393,95</w:t>
      </w:r>
      <w:r w:rsidRPr="0037181E">
        <w:rPr>
          <w:rFonts w:ascii="Sylfaen" w:hAnsi="Sylfaen"/>
        </w:rPr>
        <w:t xml:space="preserve"> kn. Ispitno i izvještajno ročište određeno je za dan 14. siječnja 2020. god.</w:t>
      </w:r>
    </w:p>
    <w:p w:rsidRPr="0037181E" w:rsidR="0037181E" w:rsidP="0037181E" w:rsidRDefault="0037181E">
      <w:pPr>
        <w:jc w:val="both"/>
        <w:rPr>
          <w:rFonts w:ascii="Sylfaen" w:hAnsi="Sylfaen"/>
        </w:rPr>
      </w:pPr>
    </w:p>
    <w:p w:rsidR="0037181E" w:rsidP="0037181E" w:rsidRDefault="0037181E">
      <w:pPr>
        <w:jc w:val="both"/>
        <w:rPr>
          <w:rFonts w:ascii="Sylfaen" w:hAnsi="Sylfaen"/>
        </w:rPr>
      </w:pPr>
      <w:r w:rsidRPr="0037181E">
        <w:rPr>
          <w:rFonts w:ascii="Sylfaen" w:hAnsi="Sylfaen"/>
        </w:rPr>
        <w:t>DOKAZ: uvid u e- oglasna ploča suda</w:t>
      </w:r>
    </w:p>
    <w:p w:rsidR="00584364" w:rsidP="0037181E" w:rsidRDefault="00584364">
      <w:pPr>
        <w:jc w:val="both"/>
        <w:rPr>
          <w:rFonts w:ascii="Sylfaen" w:hAnsi="Sylfaen"/>
        </w:rPr>
      </w:pPr>
    </w:p>
    <w:p w:rsidR="00584364" w:rsidP="0037181E" w:rsidRDefault="00584364">
      <w:pPr>
        <w:jc w:val="both"/>
        <w:rPr>
          <w:rFonts w:ascii="Sylfaen" w:hAnsi="Sylfaen"/>
        </w:rPr>
      </w:pPr>
      <w:r>
        <w:rPr>
          <w:rFonts w:ascii="Sylfaen" w:hAnsi="Sylfaen"/>
        </w:rPr>
        <w:t xml:space="preserve">9. </w:t>
      </w:r>
      <w:r>
        <w:rPr>
          <w:rFonts w:ascii="Sylfaen" w:hAnsi="Sylfaen"/>
          <w:u w:val="single"/>
        </w:rPr>
        <w:t xml:space="preserve">GLUMINA BANKA d.d. u stečaju c/a TOMISLAV BUDIMILOVIĆ iz Rijeke, Narodnog ustanka 6, OIB: 06364993218, </w:t>
      </w:r>
      <w:r w:rsidRPr="0037181E">
        <w:rPr>
          <w:rFonts w:ascii="Sylfaen" w:hAnsi="Sylfaen"/>
        </w:rPr>
        <w:t xml:space="preserve">koji </w:t>
      </w:r>
      <w:r>
        <w:rPr>
          <w:rFonts w:ascii="Sylfaen" w:hAnsi="Sylfaen"/>
        </w:rPr>
        <w:t>postupak se vodii</w:t>
      </w:r>
      <w:r w:rsidRPr="0037181E">
        <w:rPr>
          <w:rFonts w:ascii="Sylfaen" w:hAnsi="Sylfaen"/>
        </w:rPr>
        <w:t xml:space="preserve"> pred Trgovačkim sudom u Zagrebu, posl. br.: </w:t>
      </w:r>
      <w:r>
        <w:rPr>
          <w:rFonts w:ascii="Sylfaen" w:hAnsi="Sylfaen"/>
        </w:rPr>
        <w:t>P</w:t>
      </w:r>
      <w:r w:rsidRPr="0037181E">
        <w:rPr>
          <w:rFonts w:ascii="Sylfaen" w:hAnsi="Sylfaen"/>
        </w:rPr>
        <w:t>-</w:t>
      </w:r>
      <w:r>
        <w:rPr>
          <w:rFonts w:ascii="Sylfaen" w:hAnsi="Sylfaen"/>
        </w:rPr>
        <w:t>2347/2017</w:t>
      </w:r>
      <w:r w:rsidRPr="0037181E">
        <w:rPr>
          <w:rFonts w:ascii="Sylfaen" w:hAnsi="Sylfaen"/>
        </w:rPr>
        <w:t xml:space="preserve">, VPS: </w:t>
      </w:r>
      <w:r>
        <w:rPr>
          <w:rFonts w:ascii="Sylfaen" w:hAnsi="Sylfaen"/>
        </w:rPr>
        <w:t>146</w:t>
      </w:r>
      <w:r w:rsidRPr="0037181E">
        <w:rPr>
          <w:rFonts w:ascii="Sylfaen" w:hAnsi="Sylfaen"/>
        </w:rPr>
        <w:t>.</w:t>
      </w:r>
      <w:r>
        <w:rPr>
          <w:rFonts w:ascii="Sylfaen" w:hAnsi="Sylfaen"/>
        </w:rPr>
        <w:t>726</w:t>
      </w:r>
      <w:r w:rsidRPr="0037181E">
        <w:rPr>
          <w:rFonts w:ascii="Sylfaen" w:hAnsi="Sylfaen"/>
        </w:rPr>
        <w:t>,</w:t>
      </w:r>
      <w:r>
        <w:rPr>
          <w:rFonts w:ascii="Sylfaen" w:hAnsi="Sylfaen"/>
        </w:rPr>
        <w:t>83</w:t>
      </w:r>
      <w:r w:rsidRPr="0037181E">
        <w:rPr>
          <w:rFonts w:ascii="Sylfaen" w:hAnsi="Sylfaen"/>
        </w:rPr>
        <w:t xml:space="preserve"> kn</w:t>
      </w:r>
    </w:p>
    <w:p w:rsidR="00584364" w:rsidP="0037181E" w:rsidRDefault="00584364">
      <w:pPr>
        <w:jc w:val="both"/>
        <w:rPr>
          <w:rFonts w:ascii="Sylfaen" w:hAnsi="Sylfaen"/>
        </w:rPr>
      </w:pPr>
    </w:p>
    <w:p w:rsidR="00584364" w:rsidP="0037181E" w:rsidRDefault="00584364">
      <w:pPr>
        <w:jc w:val="both"/>
        <w:rPr>
          <w:rFonts w:ascii="Sylfaen" w:hAnsi="Sylfaen"/>
        </w:rPr>
      </w:pPr>
      <w:r>
        <w:rPr>
          <w:rFonts w:ascii="Sylfaen" w:hAnsi="Sylfaen"/>
        </w:rPr>
        <w:t>Presudom Trgovačkog suda u Zagrebu, posl. br.: P-2347/2017 od dana 15.11.2019. god. održan je na snazi platni nalog sadržan u rješenju o ovrsi kojim je tuženiku naloženo platiti tužitelju iznos od 146.726,83 kn zajedno sa zateznim kamatama, troškovima ovršnog postupka u iznosu od 6.680,58 kn i troškovima parničnog postupka u iznosu od 33.161,02 kn.</w:t>
      </w:r>
    </w:p>
    <w:p w:rsidR="00584364" w:rsidP="0037181E" w:rsidRDefault="00584364">
      <w:pPr>
        <w:jc w:val="both"/>
        <w:rPr>
          <w:rFonts w:ascii="Sylfaen" w:hAnsi="Sylfaen"/>
        </w:rPr>
      </w:pPr>
    </w:p>
    <w:p w:rsidR="00584364" w:rsidP="0037181E" w:rsidRDefault="00584364">
      <w:pPr>
        <w:jc w:val="both"/>
        <w:rPr>
          <w:rFonts w:ascii="Sylfaen" w:hAnsi="Sylfaen"/>
        </w:rPr>
      </w:pPr>
      <w:r>
        <w:rPr>
          <w:rFonts w:ascii="Sylfaen" w:hAnsi="Sylfaen"/>
        </w:rPr>
        <w:t>DOKAZ: presuda Trgovačkog suda u Zagrebu, posl. br.: P-2347/2017 od dana 15.11.2019. god.</w:t>
      </w:r>
    </w:p>
    <w:p w:rsidR="00C67BBE" w:rsidP="0037181E" w:rsidRDefault="00C67BBE">
      <w:pPr>
        <w:jc w:val="both"/>
        <w:rPr>
          <w:rFonts w:ascii="Sylfaen" w:hAnsi="Sylfaen"/>
        </w:rPr>
      </w:pPr>
    </w:p>
    <w:p w:rsidR="00C67BBE" w:rsidP="0037181E" w:rsidRDefault="00C67BBE">
      <w:pPr>
        <w:jc w:val="both"/>
        <w:rPr>
          <w:rFonts w:ascii="Sylfaen" w:hAnsi="Sylfaen"/>
        </w:rPr>
      </w:pPr>
      <w:r>
        <w:rPr>
          <w:rFonts w:ascii="Sylfaen" w:hAnsi="Sylfaen"/>
        </w:rPr>
        <w:lastRenderedPageBreak/>
        <w:t xml:space="preserve">10. </w:t>
      </w:r>
      <w:r w:rsidRPr="00CA7A44">
        <w:rPr>
          <w:rFonts w:ascii="Sylfaen" w:hAnsi="Sylfaen"/>
          <w:u w:val="single"/>
        </w:rPr>
        <w:t>Stečajna masa iza GRADSKA BANKA d.d. u stečaju, K. A. Stepinca 35, Osijek, OIB: 49147309133 c/a GLUMINA BANKA d.d. u stečaju,</w:t>
      </w:r>
      <w:r>
        <w:rPr>
          <w:rFonts w:ascii="Sylfaen" w:hAnsi="Sylfaen"/>
        </w:rPr>
        <w:t xml:space="preserve"> radi utvrđenja tražbine, koji postupak  se vodi pred Trgovačkim sudom u Zagrebu pod brojem P-593/2018</w:t>
      </w:r>
    </w:p>
    <w:p w:rsidR="00C67BBE" w:rsidP="0037181E" w:rsidRDefault="00C67BBE">
      <w:pPr>
        <w:jc w:val="both"/>
        <w:rPr>
          <w:rFonts w:ascii="Sylfaen" w:hAnsi="Sylfaen"/>
        </w:rPr>
      </w:pPr>
    </w:p>
    <w:p w:rsidR="00C67BBE" w:rsidP="0037181E" w:rsidRDefault="00C67BBE">
      <w:pPr>
        <w:jc w:val="both"/>
        <w:rPr>
          <w:rFonts w:ascii="Sylfaen" w:hAnsi="Sylfaen"/>
        </w:rPr>
      </w:pPr>
      <w:r>
        <w:rPr>
          <w:rFonts w:ascii="Sylfaen" w:hAnsi="Sylfaen"/>
        </w:rPr>
        <w:t>Presudom i rješenjem Visokog trgovačkog suda u Zagrebu, posl. br: Pž-7397/2012 od dana 14.10.2014. god. odbijena je žalba tužitelja kao neosnovana i u točki II izreke u djelu u kojem je odbijeni tužbeni zahtjev  za utvrđenje osnovanom osporene tražbine petog višeg isplatnog reda u iznosu od 245.923,70 kn te je potvrđena presuda Trgovačkog suda u Zagrebu, posl. br.: P-5189/09 od dana 30 travnja 2012. god., a rješenjem  je ukinuta presuda Trgovačkog suda u Zagrebu, posl. br.: P-5189/09 od dana 30 travnja 2012. god u točki I, III i IV izreke te predmet vraćen na ponovni postupak, a u kojem će se u konačnici odlučiti u troškovima postupka.</w:t>
      </w:r>
    </w:p>
    <w:p w:rsidR="00C67BBE" w:rsidP="0037181E" w:rsidRDefault="00C67BBE">
      <w:pPr>
        <w:jc w:val="both"/>
        <w:rPr>
          <w:rFonts w:ascii="Sylfaen" w:hAnsi="Sylfaen"/>
        </w:rPr>
      </w:pPr>
    </w:p>
    <w:p w:rsidR="007B6A3D" w:rsidP="0037181E" w:rsidRDefault="007B6A3D">
      <w:pPr>
        <w:jc w:val="both"/>
        <w:rPr>
          <w:rFonts w:ascii="Sylfaen" w:hAnsi="Sylfaen"/>
        </w:rPr>
      </w:pPr>
      <w:r>
        <w:rPr>
          <w:rFonts w:ascii="Sylfaen" w:hAnsi="Sylfaen"/>
        </w:rPr>
        <w:t>Dana 13.11.2019. god. zaprimila sam prijedlog za mirno rješenje spora od strane punomoćnika tužitelja na način da bi tužitelj povukao tužbu uz naknadu parničnog troška</w:t>
      </w:r>
      <w:r w:rsidR="001D5A02">
        <w:rPr>
          <w:rFonts w:ascii="Sylfaen" w:hAnsi="Sylfaen"/>
        </w:rPr>
        <w:t xml:space="preserve"> stečajnom dužniku</w:t>
      </w:r>
      <w:r>
        <w:rPr>
          <w:rFonts w:ascii="Sylfaen" w:hAnsi="Sylfaen"/>
        </w:rPr>
        <w:t xml:space="preserve"> u iznosu od 40.000,00 kn.</w:t>
      </w:r>
      <w:r w:rsidR="00CA7A44">
        <w:rPr>
          <w:rFonts w:ascii="Sylfaen" w:hAnsi="Sylfaen"/>
        </w:rPr>
        <w:t xml:space="preserve"> </w:t>
      </w:r>
      <w:r>
        <w:rPr>
          <w:rFonts w:ascii="Sylfaen" w:hAnsi="Sylfaen"/>
        </w:rPr>
        <w:t>Skreće se pozornost da je ranija ponuda tužitelja u istoj pravnoj stvari bila da se sklopi nagodba na način da tužitelj povuče  tužbu i tužbeni zahtjev te naknadi troškove u iznosu od 56.834,30 kn, a koji iznos je bio dosuđen prvostupanjskom pr</w:t>
      </w:r>
      <w:r w:rsidR="00CA7A44">
        <w:rPr>
          <w:rFonts w:ascii="Sylfaen" w:hAnsi="Sylfaen"/>
        </w:rPr>
        <w:t xml:space="preserve">esudom od dana 30.04.2012. god. </w:t>
      </w:r>
      <w:r>
        <w:rPr>
          <w:rFonts w:ascii="Sylfaen" w:hAnsi="Sylfaen"/>
        </w:rPr>
        <w:t>Budući je naknadni prijedlog nagodbe u nižem iznosu od prvotno predloženoga, a prema specifikaciji troškova punomoćnika stečajnog dužnika da nastali troškovi na ime radnji punomoćnika u navedenom predmetu i na ime sudskih pristojbi iznose 138.816,25 kn držim da je navedeni prijedlog nije uperen ka cilju mirnog rješenja spora.</w:t>
      </w:r>
    </w:p>
    <w:p w:rsidR="007B6A3D" w:rsidP="0037181E" w:rsidRDefault="007B6A3D">
      <w:pPr>
        <w:jc w:val="both"/>
        <w:rPr>
          <w:rFonts w:ascii="Sylfaen" w:hAnsi="Sylfaen"/>
        </w:rPr>
      </w:pPr>
    </w:p>
    <w:p w:rsidR="007B6A3D" w:rsidP="0037181E" w:rsidRDefault="007B6A3D">
      <w:pPr>
        <w:jc w:val="both"/>
        <w:rPr>
          <w:rFonts w:ascii="Sylfaen" w:hAnsi="Sylfaen"/>
        </w:rPr>
      </w:pPr>
      <w:r>
        <w:rPr>
          <w:rFonts w:ascii="Sylfaen" w:hAnsi="Sylfaen"/>
        </w:rPr>
        <w:t>DOKAZ:   Presuda i rješenje Visokog trgovačkog suda u Zagrebu, posl. br: Pž-7397/2012 od dana 14.10.2014. god.</w:t>
      </w:r>
    </w:p>
    <w:p w:rsidR="00C67BBE" w:rsidP="0037181E" w:rsidRDefault="007B6A3D">
      <w:pPr>
        <w:jc w:val="both"/>
        <w:rPr>
          <w:rFonts w:ascii="Sylfaen" w:hAnsi="Sylfaen"/>
        </w:rPr>
      </w:pPr>
      <w:r>
        <w:rPr>
          <w:rFonts w:ascii="Sylfaen" w:hAnsi="Sylfaen"/>
        </w:rPr>
        <w:t>- presuda Trgovačkog suda u Zagrebu, posl. br.: P-5189/09 od dana 30 travnja 2012. god.,</w:t>
      </w:r>
    </w:p>
    <w:p w:rsidR="00C67BBE" w:rsidP="0037181E" w:rsidRDefault="00C67BBE">
      <w:pPr>
        <w:jc w:val="both"/>
        <w:rPr>
          <w:rFonts w:ascii="Sylfaen" w:hAnsi="Sylfaen"/>
        </w:rPr>
      </w:pPr>
      <w:r>
        <w:rPr>
          <w:rFonts w:ascii="Sylfaen" w:hAnsi="Sylfaen"/>
        </w:rPr>
        <w:t xml:space="preserve"> </w:t>
      </w:r>
      <w:r w:rsidR="007B6A3D">
        <w:rPr>
          <w:rFonts w:ascii="Sylfaen" w:hAnsi="Sylfaen"/>
        </w:rPr>
        <w:t xml:space="preserve">- prijedlog za mirno rješenje spora od dana 13.12.2018. god. i 13.11.2019. god. </w:t>
      </w:r>
    </w:p>
    <w:p w:rsidR="0037181E" w:rsidP="0037181E" w:rsidRDefault="0037181E">
      <w:pPr>
        <w:jc w:val="both"/>
        <w:rPr>
          <w:rFonts w:ascii="Sylfaen" w:hAnsi="Sylfaen"/>
        </w:rPr>
      </w:pPr>
    </w:p>
    <w:p w:rsidR="0037181E" w:rsidP="0037181E" w:rsidRDefault="00584364">
      <w:pPr>
        <w:jc w:val="both"/>
        <w:rPr>
          <w:rFonts w:ascii="Sylfaen" w:hAnsi="Sylfaen"/>
        </w:rPr>
      </w:pPr>
      <w:r>
        <w:rPr>
          <w:rFonts w:ascii="Sylfaen" w:hAnsi="Sylfaen"/>
          <w:u w:val="single"/>
        </w:rPr>
        <w:t>1</w:t>
      </w:r>
      <w:r w:rsidR="00CA7A44">
        <w:rPr>
          <w:rFonts w:ascii="Sylfaen" w:hAnsi="Sylfaen"/>
          <w:u w:val="single"/>
        </w:rPr>
        <w:t>1</w:t>
      </w:r>
      <w:r w:rsidRPr="00F33DE6" w:rsidR="00F33DE6">
        <w:rPr>
          <w:rFonts w:ascii="Sylfaen" w:hAnsi="Sylfaen"/>
          <w:u w:val="single"/>
        </w:rPr>
        <w:t>.</w:t>
      </w:r>
      <w:r w:rsidRPr="00F33DE6" w:rsidR="0037181E">
        <w:rPr>
          <w:rFonts w:ascii="Sylfaen" w:hAnsi="Sylfaen"/>
          <w:u w:val="single"/>
        </w:rPr>
        <w:t xml:space="preserve"> </w:t>
      </w:r>
      <w:r w:rsidRPr="00F33DE6" w:rsidR="008D241B">
        <w:rPr>
          <w:rFonts w:ascii="Sylfaen" w:hAnsi="Sylfaen"/>
          <w:u w:val="single"/>
        </w:rPr>
        <w:t>PATAR</w:t>
      </w:r>
      <w:r w:rsidRPr="0009363A" w:rsidR="008D241B">
        <w:rPr>
          <w:rFonts w:ascii="Sylfaen" w:hAnsi="Sylfaen"/>
          <w:u w:val="single"/>
        </w:rPr>
        <w:t xml:space="preserve"> MILS c/a MAREA MAKARSKA d.o.o., HERMES NEKRETNINE d.o.o. i  GLUMINA BANKA d.d. u stečaju,</w:t>
      </w:r>
      <w:r w:rsidR="008D241B">
        <w:rPr>
          <w:rFonts w:ascii="Sylfaen" w:hAnsi="Sylfaen"/>
        </w:rPr>
        <w:t xml:space="preserve"> predmet koji se vodi pred Općinskim sudom u Makarskoj pod broj P-3213/2019</w:t>
      </w:r>
    </w:p>
    <w:p w:rsidR="006D3198" w:rsidP="0037181E" w:rsidRDefault="006D3198">
      <w:pPr>
        <w:jc w:val="both"/>
        <w:rPr>
          <w:rFonts w:ascii="Sylfaen" w:hAnsi="Sylfaen"/>
        </w:rPr>
      </w:pPr>
    </w:p>
    <w:p w:rsidR="0009363A" w:rsidP="0037181E" w:rsidRDefault="006D3198">
      <w:pPr>
        <w:jc w:val="both"/>
        <w:rPr>
          <w:rFonts w:ascii="Sylfaen" w:hAnsi="Sylfaen"/>
        </w:rPr>
      </w:pPr>
      <w:r>
        <w:rPr>
          <w:rFonts w:ascii="Sylfaen" w:hAnsi="Sylfaen"/>
        </w:rPr>
        <w:t>Uvidom u zk izvadak nekretnine u vlasništvu stečajnog dužnika upisane kod Općinskog suda u Makarskoj u zk.ul.br.: 3216, k.o. Makarska Makar</w:t>
      </w:r>
      <w:r w:rsidR="0009363A">
        <w:rPr>
          <w:rFonts w:ascii="Sylfaen" w:hAnsi="Sylfaen"/>
        </w:rPr>
        <w:t xml:space="preserve"> razvodno je postojanje aktivne plombe broj Z-3294/2019 sadržaja prijedloga zabilježba spora.</w:t>
      </w:r>
    </w:p>
    <w:p w:rsidR="000F097F" w:rsidP="000F097F" w:rsidRDefault="000F097F">
      <w:pPr>
        <w:jc w:val="both"/>
        <w:rPr>
          <w:rFonts w:ascii="Sylfaen" w:hAnsi="Sylfaen"/>
        </w:rPr>
      </w:pPr>
      <w:r>
        <w:rPr>
          <w:rFonts w:ascii="Sylfaen" w:hAnsi="Sylfaen"/>
        </w:rPr>
        <w:t>Uvidom u upisnik kod suda razvodno je da se radi o zabilježbi spora koja se vodi pred Općinskim sudom u Makarskoj pod brojem P-3213/2019, međutim do danas tužba nije dostavljena na odgovor stečajnom dužniku kao tuženiku te je nepoznat sadržaj tužbe i tužbenog zahtjeva.</w:t>
      </w:r>
    </w:p>
    <w:p w:rsidR="003D32D0" w:rsidP="000F097F" w:rsidRDefault="003D32D0">
      <w:pPr>
        <w:jc w:val="both"/>
        <w:rPr>
          <w:rFonts w:ascii="Sylfaen" w:hAnsi="Sylfaen"/>
        </w:rPr>
      </w:pPr>
    </w:p>
    <w:p w:rsidR="003D32D0" w:rsidP="000F097F" w:rsidRDefault="003D32D0">
      <w:pPr>
        <w:jc w:val="both"/>
        <w:rPr>
          <w:rFonts w:ascii="Sylfaen" w:hAnsi="Sylfaen"/>
        </w:rPr>
      </w:pPr>
      <w:r>
        <w:rPr>
          <w:rFonts w:ascii="Sylfaen" w:hAnsi="Sylfaen"/>
        </w:rPr>
        <w:t>DOKAZ: zk izvadak</w:t>
      </w:r>
    </w:p>
    <w:p w:rsidR="00CA7A44" w:rsidP="00627750" w:rsidRDefault="00CA7A44">
      <w:pPr>
        <w:rPr>
          <w:rFonts w:ascii="Sylfaen" w:hAnsi="Sylfaen"/>
          <w:u w:val="single"/>
        </w:rPr>
      </w:pPr>
    </w:p>
    <w:p w:rsidR="00CA7A44" w:rsidP="00627750" w:rsidRDefault="00CA7A44">
      <w:pPr>
        <w:rPr>
          <w:rFonts w:ascii="Sylfaen" w:hAnsi="Sylfaen"/>
          <w:u w:val="single"/>
        </w:rPr>
      </w:pPr>
    </w:p>
    <w:p w:rsidRPr="0072061F" w:rsidR="00627750" w:rsidP="00627750" w:rsidRDefault="00627750">
      <w:pPr>
        <w:rPr>
          <w:rFonts w:ascii="Sylfaen" w:hAnsi="Sylfaen"/>
          <w:b/>
          <w:u w:val="single"/>
        </w:rPr>
      </w:pPr>
      <w:r w:rsidRPr="0072061F">
        <w:rPr>
          <w:rFonts w:ascii="Sylfaen" w:hAnsi="Sylfaen"/>
          <w:b/>
          <w:u w:val="single"/>
        </w:rPr>
        <w:t>STANJE STEČAJNE MASE</w:t>
      </w:r>
    </w:p>
    <w:p w:rsidRPr="00CA7A44" w:rsidR="000F097F" w:rsidP="0072061F" w:rsidRDefault="000F097F">
      <w:pPr>
        <w:spacing w:before="240"/>
        <w:jc w:val="both"/>
        <w:rPr>
          <w:rFonts w:ascii="Sylfaen" w:hAnsi="Sylfaen"/>
          <w:bCs/>
          <w:color w:val="202124"/>
          <w:u w:val="single"/>
          <w:lang w:eastAsia="hr-HR"/>
        </w:rPr>
      </w:pPr>
      <w:r w:rsidRPr="00CA7A44">
        <w:rPr>
          <w:rFonts w:ascii="Sylfaen" w:hAnsi="Sylfaen"/>
          <w:u w:val="single"/>
        </w:rPr>
        <w:t>I</w:t>
      </w:r>
      <w:r w:rsidRPr="00CA7A44" w:rsidR="00F33DE6">
        <w:rPr>
          <w:rFonts w:ascii="Sylfaen" w:hAnsi="Sylfaen"/>
          <w:u w:val="single"/>
        </w:rPr>
        <w:t>/</w:t>
      </w:r>
      <w:r w:rsidRPr="00CA7A44">
        <w:rPr>
          <w:rFonts w:ascii="Sylfaen" w:hAnsi="Sylfaen"/>
          <w:u w:val="single"/>
        </w:rPr>
        <w:t>. GLUMINA BANKA  d.d. – u stečaju c/a AGR</w:t>
      </w:r>
      <w:r w:rsidR="00654E7C">
        <w:rPr>
          <w:rFonts w:ascii="Sylfaen" w:hAnsi="Sylfaen"/>
          <w:u w:val="single"/>
        </w:rPr>
        <w:t>OKOR d.d.– prijedlog za prodaju</w:t>
      </w:r>
      <w:r w:rsidRPr="00CA7A44">
        <w:rPr>
          <w:rFonts w:ascii="Sylfaen" w:hAnsi="Sylfaen"/>
          <w:u w:val="single"/>
        </w:rPr>
        <w:t xml:space="preserve"> Novih instrumenata</w:t>
      </w:r>
      <w:r w:rsidRPr="00CA7A44" w:rsidR="0072061F">
        <w:rPr>
          <w:rFonts w:ascii="Sylfaen" w:hAnsi="Sylfaen"/>
          <w:u w:val="single"/>
        </w:rPr>
        <w:t xml:space="preserve"> - </w:t>
      </w:r>
      <w:r w:rsidRPr="00CA7A44" w:rsidR="0072061F">
        <w:rPr>
          <w:rFonts w:ascii="Sylfaen" w:hAnsi="Sylfaen"/>
          <w:bCs/>
          <w:color w:val="202124"/>
          <w:u w:val="single"/>
          <w:lang w:eastAsia="hr-HR"/>
        </w:rPr>
        <w:t>obveznica i depozitarnih potvrda izdanih od strane Fortenova group TopCo B.V. – broj komplta 215,546</w:t>
      </w:r>
    </w:p>
    <w:p w:rsidRPr="000F2B84" w:rsidR="00444C17" w:rsidP="00444C17" w:rsidRDefault="00444C17">
      <w:pPr>
        <w:jc w:val="both"/>
        <w:rPr>
          <w:rFonts w:ascii="Sylfaen" w:hAnsi="Sylfaen"/>
          <w:lang w:eastAsia="hr-HR"/>
        </w:rPr>
      </w:pPr>
    </w:p>
    <w:p w:rsidRPr="00CA7A44" w:rsidR="00444C17" w:rsidP="00444C17" w:rsidRDefault="00444C17">
      <w:pPr>
        <w:jc w:val="both"/>
        <w:rPr>
          <w:rFonts w:ascii="Sylfaen" w:hAnsi="Sylfaen"/>
          <w:lang w:eastAsia="hr-HR"/>
        </w:rPr>
      </w:pPr>
      <w:r w:rsidRPr="00CA7A44">
        <w:rPr>
          <w:rFonts w:ascii="Sylfaen" w:hAnsi="Sylfaen"/>
          <w:lang w:eastAsia="hr-HR"/>
        </w:rPr>
        <w:t xml:space="preserve">Stečajni dužnik podnio je u postupku izvanredne uprave nad dužnikom AGROKOR d.d. prijavu tražbine te je naknadno u propisanim rokovima na adresu TMF Group-e i AGROKOR d.d. dostavljen  ispunjeni KYC obrazac s prilogom sukladno objavljenim uputama na internet stranici </w:t>
      </w:r>
      <w:hyperlink w:tgtFrame="_blank" w:history="true" r:id="rId14">
        <w:r w:rsidRPr="00CA7A44">
          <w:rPr>
            <w:rFonts w:ascii="Sylfaen" w:hAnsi="Sylfaen"/>
            <w:color w:val="0000FF"/>
            <w:lang w:eastAsia="hr-HR"/>
          </w:rPr>
          <w:t>http://nagodba.agrokor.hr/</w:t>
        </w:r>
      </w:hyperlink>
      <w:r w:rsidRPr="00CA7A44">
        <w:rPr>
          <w:rFonts w:ascii="Sylfaen" w:hAnsi="Sylfaen"/>
          <w:lang w:eastAsia="hr-HR"/>
        </w:rPr>
        <w:t xml:space="preserve"> te odredbama članka 19. Postupak izdavanja novih instrumenata Nagodbe u postupku izvanredne uprave nad Agrokor d.d. i dr., Trgovačkog suda u Zagrebu </w:t>
      </w:r>
      <w:hyperlink w:tgtFrame="_blank" w:history="true" r:id="rId15">
        <w:r w:rsidRPr="00CA7A44">
          <w:rPr>
            <w:rFonts w:ascii="Sylfaen" w:hAnsi="Sylfaen"/>
            <w:lang w:eastAsia="hr-HR"/>
          </w:rPr>
          <w:t>posl.br</w:t>
        </w:r>
      </w:hyperlink>
      <w:r w:rsidRPr="00CA7A44">
        <w:rPr>
          <w:rFonts w:ascii="Sylfaen" w:hAnsi="Sylfaen"/>
          <w:lang w:eastAsia="hr-HR"/>
        </w:rPr>
        <w:t>. 47.St-1138/17 od 20. lipnja 2018. godine, čime je Glumina banka d.d. – u stečaju stekla Nove instrumente denominirane u eurima pri čemu je iznos utvrđene tražbine Glumina banka d.d. – u stečaju, a kako se radi o namirenju za nepotpunu naplativu tražbinu, konvertiran u EUR-e po tečaju HRK 7.480959 prema 1,00 EUR na dan 09. travnja 2017. godine temeljem prodajnog tečaja HNB-a, a kako niže slijedi.</w:t>
      </w:r>
    </w:p>
    <w:p w:rsidRPr="00CA7A44" w:rsidR="00444C17" w:rsidP="00444C17" w:rsidRDefault="00444C17">
      <w:pPr>
        <w:jc w:val="both"/>
        <w:rPr>
          <w:rFonts w:ascii="Sylfaen" w:hAnsi="Sylfaen"/>
          <w:lang w:eastAsia="hr-HR"/>
        </w:rPr>
      </w:pPr>
      <w:r w:rsidRPr="00CA7A44">
        <w:rPr>
          <w:rFonts w:ascii="Sylfaen" w:hAnsi="Sylfaen"/>
          <w:lang w:eastAsia="hr-HR"/>
        </w:rPr>
        <w:t xml:space="preserve">Uvidom u Prilog 4 Tražbina – ažuriran 25. lipnja 2018. godine objavljenom na internet stranici </w:t>
      </w:r>
      <w:hyperlink w:tgtFrame="_blank" w:history="true" r:id="rId16">
        <w:r w:rsidRPr="00CA7A44">
          <w:rPr>
            <w:rFonts w:ascii="Sylfaen" w:hAnsi="Sylfaen"/>
            <w:color w:val="0000FF"/>
            <w:lang w:eastAsia="hr-HR"/>
          </w:rPr>
          <w:t>www.agrokor.hr</w:t>
        </w:r>
      </w:hyperlink>
      <w:r w:rsidRPr="00CA7A44">
        <w:rPr>
          <w:rFonts w:ascii="Sylfaen" w:hAnsi="Sylfaen"/>
          <w:lang w:eastAsia="hr-HR"/>
        </w:rPr>
        <w:t xml:space="preserve"> i to na stranici 38. redni broj tablice 6,488, skupina vjerovničkog vijeća D,  utvrđeno je kako je ukupno prijavljena i utvrđena tražbina stečanog dužnika Glumina banka d.d. – u stečaju u iznosu od  29.951,783,00 kn,  te kako je za tražbinu Glumina banka d.d. – u stečaju predviđen način namirenja tražbine primanjem „Novih instrumenata“ te kako je utvrđena raspodjela namirenja za Nove instrumente u iznosu od 8.062,433,00 kn -  1.077,727,00 EUR-a odnosno 26,9% od ukupnog iznosa prijavljene i utvrđene tražbine.</w:t>
      </w:r>
    </w:p>
    <w:p w:rsidRPr="00CA7A44" w:rsidR="00444C17" w:rsidP="00444C17" w:rsidRDefault="00444C17">
      <w:pPr>
        <w:jc w:val="both"/>
        <w:rPr>
          <w:rFonts w:ascii="Sylfaen" w:hAnsi="Sylfaen"/>
          <w:lang w:eastAsia="hr-HR"/>
        </w:rPr>
      </w:pPr>
      <w:r w:rsidRPr="00CA7A44">
        <w:rPr>
          <w:rFonts w:ascii="Sylfaen" w:hAnsi="Sylfaen"/>
          <w:lang w:eastAsia="hr-HR"/>
        </w:rPr>
        <w:t xml:space="preserve">Novi instrumenti predstavljaju vrijednosne papire Fortenova group TopCo B.V. koji su izdani svim vjerovnicima s nepotpuno naplativim tražbinama u zamjenu za njihova potraživanja, a koji se sastoje od dva dokumenta: </w:t>
      </w:r>
      <w:r w:rsidRPr="00CA7A44">
        <w:rPr>
          <w:rFonts w:ascii="Sylfaen" w:hAnsi="Sylfaen"/>
          <w:iCs/>
          <w:lang w:eastAsia="hr-HR"/>
        </w:rPr>
        <w:t>Obveznica (zamjenjivih obveznica) – Convertible bonds ili CB i potvrda (depozitarnih potvrda) – Depository receipt ili DR</w:t>
      </w:r>
      <w:r w:rsidRPr="00CA7A44">
        <w:rPr>
          <w:rFonts w:ascii="Sylfaen" w:hAnsi="Sylfaen"/>
          <w:lang w:eastAsia="hr-HR"/>
        </w:rPr>
        <w:t xml:space="preserve"> i to u omjeru 4 prema 1 odnosno četiri prava iz obveznica nominalnog iznosa od 1,00 EUR svaka i jedne depozitarne potvrde koja se izdaje za iznos od 1,00 EUR. Novi instrumenti su međusobno povezani u pakete koji se sastoj od 4 CB-a i 1 DR-a tzv. Komplet Novih instrumenata pri čemu svaki komplet Novih instrumenata ima vrijednost sukladno Nagodbi u postupku izvanredne uprave nad Agrokor d.d. i dr. sklopljenoj pred Trgovačkim sudom u Zagrebu poslovni broj St-1138/17 od 20. lipnja 2018. godine.</w:t>
      </w:r>
    </w:p>
    <w:p w:rsidRPr="000F2B84" w:rsidR="00444C17" w:rsidP="00444C17" w:rsidRDefault="00444C17">
      <w:pPr>
        <w:jc w:val="both"/>
        <w:rPr>
          <w:rFonts w:ascii="Sylfaen" w:hAnsi="Sylfaen"/>
          <w:lang w:eastAsia="hr-HR"/>
        </w:rPr>
      </w:pPr>
      <w:r w:rsidRPr="00CA7A44">
        <w:rPr>
          <w:rFonts w:ascii="Sylfaen" w:hAnsi="Sylfaen"/>
          <w:lang w:eastAsia="hr-HR"/>
        </w:rPr>
        <w:t xml:space="preserve">Novi instrumenti mogu se prodavati/kupovati isključivo kao cjelina, kao komplet, odnosno ne mogu se posebno prodavati obveznice, a posebno potvrde, jedan komplet nije djeljiv. Sukladno Prilogu 4 Tražbina – ažuriran 25. lipnja 2018. godine Glumina banka d.d. – u stečaju posjeduje broj kompleta - 215,546 i to 862,184 Prava iz obveznica i 215,546 Depozitarnih potvrda.  Nominalna vrijednost jednog novog vlasničkog instrumenta odnosno kompleta Novih instrumenata iznosi 5,00 EUR-a,  a prema dostupnim informacijama tržišna vrijednost kompleta </w:t>
      </w:r>
      <w:r w:rsidRPr="00CA7A44">
        <w:rPr>
          <w:rFonts w:ascii="Sylfaen" w:hAnsi="Sylfaen"/>
          <w:lang w:eastAsia="hr-HR"/>
        </w:rPr>
        <w:lastRenderedPageBreak/>
        <w:t>Novog instrumenta iznosi između 1,00 EUR-a i 3,00 EUR-a te se Novim instrumentima trguje prema vrijednosti od 20% do 60% njihove nominalne vrijednosti.</w:t>
      </w:r>
    </w:p>
    <w:p w:rsidRPr="000F2B84" w:rsidR="00444C17" w:rsidP="00444C17" w:rsidRDefault="00444C17">
      <w:pPr>
        <w:jc w:val="both"/>
        <w:rPr>
          <w:rFonts w:ascii="Sylfaen" w:hAnsi="Sylfaen"/>
          <w:lang w:eastAsia="hr-HR"/>
        </w:rPr>
      </w:pPr>
      <w:r w:rsidRPr="000F2B84">
        <w:rPr>
          <w:rFonts w:ascii="Sylfaen" w:hAnsi="Sylfaen"/>
          <w:lang w:eastAsia="hr-HR"/>
        </w:rPr>
        <w:t>Dana 25. rujna 2019. godine zaprimljena je e-mailom ponuda</w:t>
      </w:r>
      <w:r w:rsidR="00AF1EDF">
        <w:rPr>
          <w:rFonts w:ascii="Sylfaen" w:hAnsi="Sylfaen"/>
          <w:lang w:eastAsia="hr-HR"/>
        </w:rPr>
        <w:t xml:space="preserve"> </w:t>
      </w:r>
      <w:r w:rsidRPr="000F2B84">
        <w:rPr>
          <w:rFonts w:ascii="Sylfaen" w:hAnsi="Sylfaen"/>
          <w:lang w:eastAsia="hr-HR"/>
        </w:rPr>
        <w:t>za cijenu od 172.436,00 EUR-a odnosno ponuda u visini 20% nominalne vrijednosti kompleta Novih instrumenat</w:t>
      </w:r>
      <w:r w:rsidR="00AF1EDF">
        <w:rPr>
          <w:rFonts w:ascii="Sylfaen" w:hAnsi="Sylfaen"/>
          <w:lang w:eastAsia="hr-HR"/>
        </w:rPr>
        <w:t xml:space="preserve"> te d</w:t>
      </w:r>
      <w:r w:rsidRPr="000F2B84">
        <w:rPr>
          <w:rFonts w:ascii="Sylfaen" w:hAnsi="Sylfaen"/>
          <w:lang w:eastAsia="hr-HR"/>
        </w:rPr>
        <w:t>ana 29. listopada 2019. godine zaprimljena je e-mailom ponuda za otkup potraživanja Glumina banka d.d. – u stečaju odnosno ponuda za kupnju novih instrumenata i to za komplet novih instrumenata - 215.546 jed</w:t>
      </w:r>
      <w:r w:rsidR="00AF1EDF">
        <w:rPr>
          <w:rFonts w:ascii="Sylfaen" w:hAnsi="Sylfaen"/>
          <w:lang w:eastAsia="hr-HR"/>
        </w:rPr>
        <w:t>inica iznos od 183.500,00 EUR-a.</w:t>
      </w:r>
    </w:p>
    <w:p w:rsidR="00444C17" w:rsidP="00444C17" w:rsidRDefault="00444C17">
      <w:pPr>
        <w:jc w:val="both"/>
        <w:rPr>
          <w:rFonts w:ascii="Sylfaen" w:hAnsi="Sylfaen"/>
          <w:lang w:eastAsia="hr-HR"/>
        </w:rPr>
      </w:pPr>
      <w:r w:rsidRPr="000F2B84">
        <w:rPr>
          <w:rFonts w:ascii="Sylfaen" w:hAnsi="Sylfaen"/>
          <w:lang w:eastAsia="hr-HR"/>
        </w:rPr>
        <w:t>U navedenom smjeru</w:t>
      </w:r>
      <w:r w:rsidR="00AF1EDF">
        <w:rPr>
          <w:rFonts w:ascii="Sylfaen" w:hAnsi="Sylfaen"/>
          <w:lang w:eastAsia="hr-HR"/>
        </w:rPr>
        <w:t xml:space="preserve">, kako su ponude dane za </w:t>
      </w:r>
      <w:r w:rsidR="00654E7C">
        <w:rPr>
          <w:rFonts w:ascii="Sylfaen" w:hAnsi="Sylfaen"/>
          <w:lang w:eastAsia="hr-HR"/>
        </w:rPr>
        <w:t xml:space="preserve">cca </w:t>
      </w:r>
      <w:r w:rsidR="00AF1EDF">
        <w:rPr>
          <w:rFonts w:ascii="Sylfaen" w:hAnsi="Sylfaen"/>
          <w:lang w:eastAsia="hr-HR"/>
        </w:rPr>
        <w:t>20% vrijednosti, a uvidom u raspoložive podatke na Internet portalima da se instrumentima trenutačno trguje prema vrijednostima od 20% do 60% nominalne vrijednosti (5 eur) odnosno cijena vlasničkog udjela kotira između jednog i tri eura</w:t>
      </w:r>
      <w:r w:rsidRPr="000F2B84">
        <w:rPr>
          <w:rFonts w:ascii="Sylfaen" w:hAnsi="Sylfaen"/>
          <w:lang w:eastAsia="hr-HR"/>
        </w:rPr>
        <w:t xml:space="preserve"> predlaže se prodaja novih instrumenata kao imovine stečajnog dužnika koja nije opterećena razlučnim pravom i to komplet novih instrumenata – obveznica i depozitarnih potvrda izdanih od strane Fortenova group TopCo B.V. – broj komplta 215,546 ukupne nominalne vrijednosti 1.077.727,00 EUR-a odnosno 8.062.433,00 kuna, sukladno Nagodbi donesenoj u postupku izvanredne uprave nad Agrokor d.d. i dr. sklopljenoj pred Trgovačkim sudom u Zagrebu poslovni broj St-1138/17 dana 20. lipnja 2018. godine, da se ista unovčava sukladno odredbama čl. 229. Stečajnog zakona, po početnoj cijeni u visini </w:t>
      </w:r>
      <w:r w:rsidRPr="000F2B84">
        <w:rPr>
          <w:rFonts w:ascii="Sylfaen" w:hAnsi="Sylfaen"/>
          <w:color w:val="000000"/>
          <w:lang w:eastAsia="hr-HR"/>
        </w:rPr>
        <w:t xml:space="preserve">60% </w:t>
      </w:r>
      <w:r w:rsidRPr="000F2B84">
        <w:rPr>
          <w:rFonts w:ascii="Sylfaen" w:hAnsi="Sylfaen"/>
          <w:lang w:eastAsia="hr-HR"/>
        </w:rPr>
        <w:t>nominalne vrijednosti kompleta novih instrumenata – broj komplta 215,546 odnosno po početnoj cijeni od 4.837.459,80  kn. Unovčenje će se provoditi objavom oglasa o prodaji imovine na stranicama Visokog trgovačkog suda Republike Hrvatske i stranicama Sudačke mreže, prikupljanjem pisanih ponuda pred javnim bilježnikom, najpovoljnijem ponuđaču i to na način da se početna cijena utvrdi u iznosu od 4.837.459,80  kn, a za slučaj da komplet novih instrumenata – obveznica i depozitarnih potvrda – broj kompleta 215,546  ne bude prodan pri prvom oglašenom roku za prikupljanje pisanih ponuda da se cijena umanjuje na drugom i svakom sljedećem prikupljanju ponuda za 15% u odnosu na prethodnu cijenu.</w:t>
      </w:r>
    </w:p>
    <w:p w:rsidR="003D32D0" w:rsidP="00444C17" w:rsidRDefault="003D32D0">
      <w:pPr>
        <w:jc w:val="both"/>
        <w:rPr>
          <w:rFonts w:ascii="Sylfaen" w:hAnsi="Sylfaen"/>
          <w:lang w:eastAsia="hr-HR"/>
        </w:rPr>
      </w:pPr>
    </w:p>
    <w:p w:rsidR="003D32D0" w:rsidP="00444C17" w:rsidRDefault="003D32D0">
      <w:pPr>
        <w:jc w:val="both"/>
        <w:rPr>
          <w:rFonts w:ascii="Sylfaen" w:hAnsi="Sylfaen"/>
          <w:lang w:eastAsia="hr-HR"/>
        </w:rPr>
      </w:pPr>
      <w:r>
        <w:rPr>
          <w:rFonts w:ascii="Sylfaen" w:hAnsi="Sylfaen"/>
          <w:lang w:eastAsia="hr-HR"/>
        </w:rPr>
        <w:t>DOKAZ: -</w:t>
      </w:r>
      <w:r w:rsidR="00AF1EDF">
        <w:rPr>
          <w:rFonts w:ascii="Sylfaen" w:hAnsi="Sylfaen"/>
          <w:lang w:eastAsia="hr-HR"/>
        </w:rPr>
        <w:t xml:space="preserve"> uvid u</w:t>
      </w:r>
      <w:r>
        <w:rPr>
          <w:rFonts w:ascii="Sylfaen" w:hAnsi="Sylfaen"/>
          <w:lang w:eastAsia="hr-HR"/>
        </w:rPr>
        <w:t xml:space="preserve"> izlist</w:t>
      </w:r>
      <w:r w:rsidRPr="000F2B84">
        <w:rPr>
          <w:rFonts w:ascii="Sylfaen" w:hAnsi="Sylfaen"/>
          <w:lang w:eastAsia="hr-HR"/>
        </w:rPr>
        <w:t xml:space="preserve"> Prilog 4 Tražbina – ažuriran 25. lipnja 2018. godine objavljenom na internet stranici </w:t>
      </w:r>
      <w:hyperlink w:tgtFrame="_blank" w:history="true" r:id="rId17">
        <w:r w:rsidRPr="000F2B84">
          <w:rPr>
            <w:rFonts w:ascii="Sylfaen" w:hAnsi="Sylfaen"/>
            <w:color w:val="0000FF"/>
            <w:lang w:eastAsia="hr-HR"/>
          </w:rPr>
          <w:t>www.agrokor.hr</w:t>
        </w:r>
      </w:hyperlink>
      <w:r w:rsidRPr="000F2B84">
        <w:rPr>
          <w:rFonts w:ascii="Sylfaen" w:hAnsi="Sylfaen"/>
          <w:lang w:eastAsia="hr-HR"/>
        </w:rPr>
        <w:t xml:space="preserve"> i to na stranici 38. redni broj tablice 6,488, </w:t>
      </w:r>
      <w:r w:rsidR="00AF1EDF">
        <w:rPr>
          <w:rFonts w:ascii="Sylfaen" w:hAnsi="Sylfaen"/>
          <w:lang w:eastAsia="hr-HR"/>
        </w:rPr>
        <w:t>skupina vjerovničkog vijeća D</w:t>
      </w:r>
    </w:p>
    <w:p w:rsidR="00F33DE6" w:rsidP="000F097F" w:rsidRDefault="000F097F">
      <w:pPr>
        <w:spacing w:before="240"/>
        <w:jc w:val="both"/>
        <w:rPr>
          <w:rFonts w:ascii="Sylfaen" w:hAnsi="Sylfaen"/>
        </w:rPr>
      </w:pPr>
      <w:r>
        <w:rPr>
          <w:rFonts w:ascii="Sylfaen" w:hAnsi="Sylfaen"/>
        </w:rPr>
        <w:t>II</w:t>
      </w:r>
      <w:r w:rsidR="00F33DE6">
        <w:rPr>
          <w:rFonts w:ascii="Sylfaen" w:hAnsi="Sylfaen"/>
        </w:rPr>
        <w:t>/</w:t>
      </w:r>
      <w:r>
        <w:rPr>
          <w:rFonts w:ascii="Sylfaen" w:hAnsi="Sylfaen"/>
        </w:rPr>
        <w:t xml:space="preserve">. </w:t>
      </w:r>
      <w:r w:rsidR="00F33DE6">
        <w:rPr>
          <w:rFonts w:ascii="Sylfaen" w:hAnsi="Sylfaen"/>
        </w:rPr>
        <w:t>Nekretnine predmet prodaje u stečajnom postupku</w:t>
      </w:r>
    </w:p>
    <w:p w:rsidR="00A02EB1" w:rsidP="000F097F" w:rsidRDefault="00D32D78">
      <w:pPr>
        <w:spacing w:before="240"/>
        <w:jc w:val="both"/>
        <w:rPr>
          <w:rFonts w:ascii="Sylfaen" w:hAnsi="Sylfaen"/>
        </w:rPr>
      </w:pPr>
      <w:r>
        <w:rPr>
          <w:rFonts w:ascii="Sylfaen" w:hAnsi="Sylfaen"/>
        </w:rPr>
        <w:t xml:space="preserve">U </w:t>
      </w:r>
      <w:r w:rsidR="00D67B33">
        <w:rPr>
          <w:rFonts w:ascii="Sylfaen" w:hAnsi="Sylfaen"/>
        </w:rPr>
        <w:t xml:space="preserve">tijeku je prodaja preostalih nekretnina u vlasništvu stečajnog dužnika javnim oglašavanjem i prikupljanjem pisanih ponuda </w:t>
      </w:r>
      <w:r w:rsidR="00A02EB1">
        <w:rPr>
          <w:rFonts w:ascii="Sylfaen" w:hAnsi="Sylfaen"/>
        </w:rPr>
        <w:t xml:space="preserve">te je zadnji dan za podnošenje ponude i uplate jamčevine </w:t>
      </w:r>
      <w:r w:rsidR="002C6411">
        <w:rPr>
          <w:rFonts w:ascii="Sylfaen" w:hAnsi="Sylfaen"/>
        </w:rPr>
        <w:t>12</w:t>
      </w:r>
      <w:r w:rsidR="00D67B33">
        <w:rPr>
          <w:rFonts w:ascii="Sylfaen" w:hAnsi="Sylfaen"/>
        </w:rPr>
        <w:t>.</w:t>
      </w:r>
      <w:r w:rsidR="002C6411">
        <w:rPr>
          <w:rFonts w:ascii="Sylfaen" w:hAnsi="Sylfaen"/>
        </w:rPr>
        <w:t>12</w:t>
      </w:r>
      <w:r w:rsidR="00520BC6">
        <w:rPr>
          <w:rFonts w:ascii="Sylfaen" w:hAnsi="Sylfaen"/>
        </w:rPr>
        <w:t>.2019</w:t>
      </w:r>
      <w:r w:rsidR="00A02EB1">
        <w:rPr>
          <w:rFonts w:ascii="Sylfaen" w:hAnsi="Sylfaen"/>
        </w:rPr>
        <w:t>. god., odnosno za slučaj uplate jamčevine i davanje ponude u roku</w:t>
      </w:r>
      <w:r w:rsidR="00F24BFC">
        <w:rPr>
          <w:rFonts w:ascii="Sylfaen" w:hAnsi="Sylfaen"/>
        </w:rPr>
        <w:t>,</w:t>
      </w:r>
      <w:r w:rsidR="00A02EB1">
        <w:rPr>
          <w:rFonts w:ascii="Sylfaen" w:hAnsi="Sylfaen"/>
        </w:rPr>
        <w:t xml:space="preserve"> javno otvaranje ponuda zakazano je za dan </w:t>
      </w:r>
      <w:r w:rsidR="002C6411">
        <w:rPr>
          <w:rFonts w:ascii="Sylfaen" w:hAnsi="Sylfaen"/>
        </w:rPr>
        <w:t>18.12</w:t>
      </w:r>
      <w:r w:rsidR="00520BC6">
        <w:rPr>
          <w:rFonts w:ascii="Sylfaen" w:hAnsi="Sylfaen"/>
        </w:rPr>
        <w:t>.2019</w:t>
      </w:r>
      <w:r w:rsidR="00D67B33">
        <w:rPr>
          <w:rFonts w:ascii="Sylfaen" w:hAnsi="Sylfaen"/>
        </w:rPr>
        <w:t xml:space="preserve">. god., odnosno za slučaj da se nekretnine odredit će se nova prodaja umanjenjem cijene od 10 do 20% u odnosu na prethodno oglašenu cijenu, </w:t>
      </w:r>
      <w:r w:rsidR="00A02EB1">
        <w:rPr>
          <w:rFonts w:ascii="Sylfaen" w:hAnsi="Sylfaen"/>
        </w:rPr>
        <w:t>kako slijedi:</w:t>
      </w:r>
    </w:p>
    <w:p w:rsidR="00DC3D5F" w:rsidP="00DC3D5F" w:rsidRDefault="00DC3D5F">
      <w:pPr>
        <w:pStyle w:val="Odlomakpopisa"/>
        <w:numPr>
          <w:ilvl w:val="0"/>
          <w:numId w:val="11"/>
        </w:numPr>
        <w:ind w:left="426" w:hanging="426"/>
        <w:jc w:val="both"/>
        <w:rPr>
          <w:rFonts w:ascii="Sylfaen" w:hAnsi="Sylfaen"/>
        </w:rPr>
      </w:pPr>
      <w:r>
        <w:rPr>
          <w:rFonts w:ascii="Sylfaen" w:hAnsi="Sylfaen"/>
        </w:rPr>
        <w:t xml:space="preserve">nekretnina upisana kod Općinskog suda u Zlataru, Zemljišnoknjižni odjel Zabok upisana u zk.ul.br.: 3152, k.o. Mirkovec kao "zk.č.br. 3089 – livada- pov. 715 čhv (2572m2)", </w:t>
      </w:r>
      <w:r w:rsidRPr="007C4C73">
        <w:rPr>
          <w:rFonts w:ascii="Sylfaen" w:hAnsi="Sylfaen"/>
          <w:u w:val="single"/>
        </w:rPr>
        <w:t xml:space="preserve">oglašena je po cijeni od </w:t>
      </w:r>
      <w:r w:rsidRPr="007C4C73" w:rsidR="002C6411">
        <w:rPr>
          <w:rFonts w:ascii="Sylfaen" w:hAnsi="Sylfaen"/>
          <w:u w:val="single"/>
        </w:rPr>
        <w:t>4</w:t>
      </w:r>
      <w:r w:rsidRPr="007C4C73">
        <w:rPr>
          <w:rFonts w:ascii="Sylfaen" w:hAnsi="Sylfaen"/>
          <w:u w:val="single"/>
        </w:rPr>
        <w:t>.</w:t>
      </w:r>
      <w:r w:rsidRPr="007C4C73" w:rsidR="0072061F">
        <w:rPr>
          <w:rFonts w:ascii="Sylfaen" w:hAnsi="Sylfaen"/>
          <w:u w:val="single"/>
        </w:rPr>
        <w:t>495,0</w:t>
      </w:r>
      <w:r w:rsidRPr="007C4C73" w:rsidR="002C6411">
        <w:rPr>
          <w:rFonts w:ascii="Sylfaen" w:hAnsi="Sylfaen"/>
          <w:u w:val="single"/>
        </w:rPr>
        <w:t>0</w:t>
      </w:r>
      <w:r w:rsidRPr="007C4C73">
        <w:rPr>
          <w:rFonts w:ascii="Sylfaen" w:hAnsi="Sylfaen"/>
          <w:u w:val="single"/>
        </w:rPr>
        <w:t xml:space="preserve"> kn.</w:t>
      </w:r>
    </w:p>
    <w:p w:rsidR="00DC3D5F" w:rsidP="00DC3D5F" w:rsidRDefault="00DC3D5F">
      <w:pPr>
        <w:pStyle w:val="Odlomakpopisa"/>
        <w:ind w:left="426"/>
        <w:jc w:val="both"/>
        <w:rPr>
          <w:rFonts w:ascii="Sylfaen" w:hAnsi="Sylfaen"/>
        </w:rPr>
      </w:pPr>
    </w:p>
    <w:p w:rsidRPr="00DC3D5F" w:rsidR="00DC3D5F" w:rsidP="00DC3D5F" w:rsidRDefault="00DC3D5F">
      <w:pPr>
        <w:pStyle w:val="Odlomakpopisa"/>
        <w:numPr>
          <w:ilvl w:val="0"/>
          <w:numId w:val="11"/>
        </w:numPr>
        <w:ind w:left="426" w:hanging="426"/>
        <w:jc w:val="both"/>
        <w:rPr>
          <w:rFonts w:ascii="Sylfaen" w:hAnsi="Sylfaen"/>
        </w:rPr>
      </w:pPr>
      <w:r>
        <w:rPr>
          <w:rFonts w:ascii="Sylfaen" w:hAnsi="Sylfaen"/>
        </w:rPr>
        <w:t xml:space="preserve">nekretnina upisana  </w:t>
      </w:r>
      <w:r>
        <w:rPr>
          <w:rFonts w:ascii="Sylfaen" w:hAnsi="Sylfaen" w:cs="Tahoma"/>
          <w:bCs/>
          <w:color w:val="000000"/>
          <w:shd w:val="clear" w:color="auto" w:fill="FFFFFF"/>
        </w:rPr>
        <w:t xml:space="preserve">kod Općinskog suda Velikoj Gorici, zemljišnoknjižni odjel Vrbovec u zk.ul.br. 1073, k.o. Hudovo, kao "zk.č.br. 648/ - oranica Stari Krč u Ređeki - površine 1063čhv", "zk.č.br. 657/1 - oranica Stari Vrt u Ređeki - površine 679 čhv"i "zk.č.br. 670 -  Kuća, zgrada i dvorište u Ređeki - površine 478 čhv", </w:t>
      </w:r>
      <w:r w:rsidRPr="007C4C73">
        <w:rPr>
          <w:rFonts w:ascii="Sylfaen" w:hAnsi="Sylfaen"/>
          <w:u w:val="single"/>
        </w:rPr>
        <w:t xml:space="preserve">oglašena je po cijeni od </w:t>
      </w:r>
      <w:r w:rsidRPr="007C4C73" w:rsidR="007C4C73">
        <w:rPr>
          <w:rFonts w:ascii="Sylfaen" w:hAnsi="Sylfaen"/>
          <w:u w:val="single"/>
        </w:rPr>
        <w:t>116</w:t>
      </w:r>
      <w:r w:rsidRPr="007C4C73">
        <w:rPr>
          <w:rFonts w:ascii="Sylfaen" w:hAnsi="Sylfaen"/>
          <w:u w:val="single"/>
        </w:rPr>
        <w:t>.</w:t>
      </w:r>
      <w:r w:rsidR="003E1E8F">
        <w:rPr>
          <w:rFonts w:ascii="Sylfaen" w:hAnsi="Sylfaen"/>
          <w:u w:val="single"/>
        </w:rPr>
        <w:t>578</w:t>
      </w:r>
      <w:r w:rsidRPr="007C4C73" w:rsidR="007C4C73">
        <w:rPr>
          <w:rFonts w:ascii="Sylfaen" w:hAnsi="Sylfaen"/>
          <w:u w:val="single"/>
        </w:rPr>
        <w:t>,</w:t>
      </w:r>
      <w:r w:rsidR="003E1E8F">
        <w:rPr>
          <w:rFonts w:ascii="Sylfaen" w:hAnsi="Sylfaen"/>
          <w:u w:val="single"/>
        </w:rPr>
        <w:t>0</w:t>
      </w:r>
      <w:r w:rsidRPr="007C4C73" w:rsidR="007C4C73">
        <w:rPr>
          <w:rFonts w:ascii="Sylfaen" w:hAnsi="Sylfaen"/>
          <w:u w:val="single"/>
        </w:rPr>
        <w:t>0</w:t>
      </w:r>
      <w:r w:rsidRPr="007C4C73">
        <w:rPr>
          <w:rFonts w:ascii="Sylfaen" w:hAnsi="Sylfaen"/>
          <w:u w:val="single"/>
        </w:rPr>
        <w:t xml:space="preserve"> kn.</w:t>
      </w:r>
    </w:p>
    <w:p w:rsidR="00DC3D5F" w:rsidP="00DC3D5F" w:rsidRDefault="00DC3D5F">
      <w:pPr>
        <w:pStyle w:val="Odlomakpopisa"/>
        <w:ind w:left="426"/>
        <w:jc w:val="both"/>
        <w:rPr>
          <w:rFonts w:ascii="Sylfaen" w:hAnsi="Sylfaen"/>
        </w:rPr>
      </w:pPr>
    </w:p>
    <w:p w:rsidRPr="00CA7A44" w:rsidR="00F33DE6" w:rsidP="00CA7A44" w:rsidRDefault="00DC3D5F">
      <w:pPr>
        <w:pStyle w:val="Odlomakpopisa"/>
        <w:numPr>
          <w:ilvl w:val="0"/>
          <w:numId w:val="11"/>
        </w:numPr>
        <w:ind w:left="426" w:hanging="426"/>
        <w:jc w:val="both"/>
        <w:rPr>
          <w:rFonts w:ascii="Sylfaen" w:hAnsi="Sylfaen"/>
        </w:rPr>
      </w:pPr>
      <w:r>
        <w:rPr>
          <w:rFonts w:ascii="Sylfaen" w:hAnsi="Sylfaen"/>
        </w:rPr>
        <w:t xml:space="preserve">Nekretnine upisana kod Općinskog suda u Slavonskom Brodu, Zemljišnoknjižni odjel Nova Gradiška u z.k.ul. 290, k.o. Komarnica, zk.č.br. 1265/1 – poslovni objekt i dvorište u selu- površine 253m2 – </w:t>
      </w:r>
      <w:r w:rsidRPr="007C4C73">
        <w:rPr>
          <w:rFonts w:ascii="Sylfaen" w:hAnsi="Sylfaen"/>
          <w:u w:val="single"/>
        </w:rPr>
        <w:t xml:space="preserve">oglašena po cijeni u iznosu od </w:t>
      </w:r>
      <w:r w:rsidRPr="007C4C73" w:rsidR="007C4C73">
        <w:rPr>
          <w:rFonts w:ascii="Sylfaen" w:hAnsi="Sylfaen"/>
          <w:u w:val="single"/>
        </w:rPr>
        <w:t>11</w:t>
      </w:r>
      <w:r w:rsidRPr="007C4C73" w:rsidR="002C6411">
        <w:rPr>
          <w:rFonts w:ascii="Sylfaen" w:hAnsi="Sylfaen"/>
          <w:u w:val="single"/>
        </w:rPr>
        <w:t>.</w:t>
      </w:r>
      <w:r w:rsidR="003E1E8F">
        <w:rPr>
          <w:rFonts w:ascii="Sylfaen" w:hAnsi="Sylfaen"/>
          <w:u w:val="single"/>
        </w:rPr>
        <w:t>158,0</w:t>
      </w:r>
      <w:r w:rsidRPr="007C4C73">
        <w:rPr>
          <w:rFonts w:ascii="Sylfaen" w:hAnsi="Sylfaen"/>
          <w:u w:val="single"/>
        </w:rPr>
        <w:t>0 kn</w:t>
      </w:r>
      <w:r w:rsidRPr="007C4C73">
        <w:rPr>
          <w:rFonts w:ascii="Sylfaen" w:hAnsi="Sylfaen"/>
        </w:rPr>
        <w:t>.</w:t>
      </w:r>
      <w:r>
        <w:rPr>
          <w:rFonts w:ascii="Sylfaen" w:hAnsi="Sylfaen"/>
        </w:rPr>
        <w:t xml:space="preserve"> </w:t>
      </w:r>
    </w:p>
    <w:p w:rsidR="00F33DE6" w:rsidP="000F097F" w:rsidRDefault="00444C17">
      <w:pPr>
        <w:spacing w:before="240"/>
        <w:jc w:val="both"/>
        <w:rPr>
          <w:rFonts w:ascii="Sylfaen" w:hAnsi="Sylfaen"/>
        </w:rPr>
      </w:pPr>
      <w:r>
        <w:rPr>
          <w:rFonts w:ascii="Sylfaen" w:hAnsi="Sylfaen"/>
        </w:rPr>
        <w:t xml:space="preserve">III/. </w:t>
      </w:r>
      <w:r w:rsidR="00F33DE6">
        <w:rPr>
          <w:rFonts w:ascii="Sylfaen" w:hAnsi="Sylfaen"/>
        </w:rPr>
        <w:t>Nekretnine prodane u stečajnom postupku</w:t>
      </w:r>
      <w:r w:rsidR="00A22F65">
        <w:rPr>
          <w:rFonts w:ascii="Sylfaen" w:hAnsi="Sylfaen"/>
        </w:rPr>
        <w:t xml:space="preserve"> </w:t>
      </w:r>
    </w:p>
    <w:p w:rsidR="002C6411" w:rsidP="000F097F" w:rsidRDefault="002C6411">
      <w:pPr>
        <w:spacing w:before="240"/>
        <w:jc w:val="both"/>
        <w:rPr>
          <w:rFonts w:ascii="Sylfaen" w:hAnsi="Sylfaen"/>
        </w:rPr>
      </w:pPr>
      <w:r w:rsidRPr="002C6411">
        <w:rPr>
          <w:rFonts w:ascii="Sylfaen" w:hAnsi="Sylfaen"/>
        </w:rPr>
        <w:t xml:space="preserve">Skreće se pozornost da </w:t>
      </w:r>
      <w:r>
        <w:rPr>
          <w:rFonts w:ascii="Sylfaen" w:hAnsi="Sylfaen"/>
        </w:rPr>
        <w:t xml:space="preserve">su </w:t>
      </w:r>
      <w:r w:rsidR="00A22F65">
        <w:rPr>
          <w:rFonts w:ascii="Sylfaen" w:hAnsi="Sylfaen"/>
        </w:rPr>
        <w:t xml:space="preserve">od posljednjeg izvješća </w:t>
      </w:r>
      <w:r>
        <w:rPr>
          <w:rFonts w:ascii="Sylfaen" w:hAnsi="Sylfaen"/>
        </w:rPr>
        <w:t>sklopljeni sljedeći ugovori o kupoprodaji nekretnina i to:</w:t>
      </w:r>
    </w:p>
    <w:p w:rsidR="002C6411" w:rsidP="000F097F" w:rsidRDefault="002C6411">
      <w:pPr>
        <w:spacing w:before="240"/>
        <w:jc w:val="both"/>
        <w:rPr>
          <w:rFonts w:ascii="Sylfaen" w:hAnsi="Sylfaen" w:cs="Tahoma"/>
          <w:color w:val="000000"/>
        </w:rPr>
      </w:pPr>
      <w:r>
        <w:rPr>
          <w:rFonts w:ascii="Sylfaen" w:hAnsi="Sylfaen"/>
        </w:rPr>
        <w:t xml:space="preserve">- </w:t>
      </w:r>
      <w:r w:rsidRPr="002C6411">
        <w:rPr>
          <w:rFonts w:ascii="Sylfaen" w:hAnsi="Sylfaen"/>
        </w:rPr>
        <w:t xml:space="preserve">za nekretnine upisane kod Općinskog građanskog suda u Zagrebu u knjigu položenih ugovora k.o. Trnje, broj poduloška 4368, Stambena zgrada Vrbik 8 33/c, Zagreb, sagrađena na čestici br. 4505/58 i to "stan broj 1 na IV i V  (četvrtom i petom) katu koji se sastoji od tri sobe i ostalih prostorija u površini od 108,00 čm s pripadajućim spremištem broj 11 u podrumu u površini 2,44čm" sklopljen </w:t>
      </w:r>
      <w:r>
        <w:rPr>
          <w:rFonts w:ascii="Sylfaen" w:hAnsi="Sylfaen"/>
        </w:rPr>
        <w:t xml:space="preserve">je </w:t>
      </w:r>
      <w:r w:rsidRPr="002C6411">
        <w:rPr>
          <w:rFonts w:ascii="Sylfaen" w:hAnsi="Sylfaen"/>
        </w:rPr>
        <w:t>Ugovor o kupoprodaji</w:t>
      </w:r>
      <w:r>
        <w:rPr>
          <w:rFonts w:ascii="Sylfaen" w:hAnsi="Sylfaen"/>
        </w:rPr>
        <w:t xml:space="preserve"> nekretnine</w:t>
      </w:r>
      <w:r w:rsidRPr="002C6411">
        <w:rPr>
          <w:rFonts w:ascii="Sylfaen" w:hAnsi="Sylfaen"/>
        </w:rPr>
        <w:t xml:space="preserve"> između stečajnog dužnika kao prodavatelja i </w:t>
      </w:r>
      <w:r w:rsidRPr="002C6411">
        <w:rPr>
          <w:rFonts w:ascii="Sylfaen" w:hAnsi="Sylfaen" w:cs="Tahoma"/>
          <w:iCs/>
        </w:rPr>
        <w:t xml:space="preserve">Dantea Krnčević Šarac iz Zagreba, Nartska 1, OIB: 05616522483 kao kupca, temeljem </w:t>
      </w:r>
      <w:r w:rsidRPr="002C6411">
        <w:rPr>
          <w:rFonts w:ascii="Sylfaen" w:hAnsi="Sylfaen"/>
        </w:rPr>
        <w:t xml:space="preserve">ranije sklopljenog </w:t>
      </w:r>
      <w:r w:rsidRPr="002C6411">
        <w:rPr>
          <w:rFonts w:ascii="Sylfaen" w:hAnsi="Sylfaen" w:cs="Tahoma"/>
        </w:rPr>
        <w:t>Zapisnika o posvjedočenju činjenica kod Javnog bilježnika Mladena Ježeka iz Zagreba, Šoštarićeva 10, poslovni broj OU-28/19-5 dana 09. srpnja 2019. godine, ovjeren po Javnom bilježniku Mladenu Ježeku iz Zagreba, Šoštarićeva 10, poslovni broj OV-151/19,kojim se prihvaća ponuda kupca za kupoprodajnu cijenu  od ukupno 748.206,00 kn</w:t>
      </w:r>
      <w:r w:rsidRPr="002C6411">
        <w:rPr>
          <w:rFonts w:ascii="Sylfaen" w:hAnsi="Sylfaen" w:cs="Tahoma"/>
          <w:color w:val="000000"/>
        </w:rPr>
        <w:t xml:space="preserve"> (slovima: sedamstočetrdesetosamtisuća dvjestošestkuna).</w:t>
      </w:r>
    </w:p>
    <w:p w:rsidR="00E42AF0" w:rsidP="00E42AF0" w:rsidRDefault="00E42AF0">
      <w:pPr>
        <w:spacing w:line="228" w:lineRule="auto"/>
        <w:jc w:val="both"/>
        <w:rPr>
          <w:rFonts w:ascii="Sylfaen" w:hAnsi="Sylfaen" w:cs="Tahoma"/>
          <w:color w:val="000000"/>
        </w:rPr>
      </w:pPr>
    </w:p>
    <w:p w:rsidR="00E42AF0" w:rsidP="00E42AF0" w:rsidRDefault="00E42AF0">
      <w:pPr>
        <w:spacing w:line="228" w:lineRule="auto"/>
        <w:jc w:val="both"/>
        <w:rPr>
          <w:rFonts w:ascii="Sylfaen" w:hAnsi="Sylfaen" w:cs="Tahoma"/>
          <w:color w:val="000000"/>
        </w:rPr>
      </w:pPr>
      <w:r w:rsidRPr="00E42AF0">
        <w:rPr>
          <w:rFonts w:ascii="Sylfaen" w:hAnsi="Sylfaen" w:cs="Tahoma"/>
          <w:color w:val="000000"/>
        </w:rPr>
        <w:t>- nekretnina u izvanknjižnom vlasništvu stečajnog dužnika</w:t>
      </w:r>
      <w:r w:rsidRPr="00E42AF0" w:rsidR="002C6411">
        <w:rPr>
          <w:rFonts w:ascii="Sylfaen" w:hAnsi="Sylfaen" w:cs="Tahoma"/>
          <w:color w:val="000000"/>
        </w:rPr>
        <w:t xml:space="preserve"> i to - </w:t>
      </w:r>
      <w:r w:rsidRPr="00E42AF0">
        <w:rPr>
          <w:rStyle w:val="Naslov1Char"/>
          <w:rFonts w:ascii="Sylfaen" w:hAnsi="Sylfaen" w:cs="Tahoma"/>
          <w:sz w:val="24"/>
          <w:szCs w:val="24"/>
        </w:rPr>
        <w:t>"</w:t>
      </w:r>
      <w:r w:rsidRPr="00E42AF0" w:rsidR="002C6411">
        <w:rPr>
          <w:rStyle w:val="Naslov1Char"/>
          <w:rFonts w:ascii="Sylfaen" w:hAnsi="Sylfaen" w:cs="Tahoma"/>
          <w:sz w:val="24"/>
          <w:szCs w:val="24"/>
        </w:rPr>
        <w:t xml:space="preserve"> posebnog dijela zgrade i to poslovnog prostora br. 37, ukupne netto korisne površine 43,13 m2, koji se nalazi u podrumu objekta K6-1, naselje Pešćenica Sjever, povezano temeljem odredaba Zakona o vlasništvu i drugim stvarnim pravima sa suvlasništvom odgovarajućeg suvlasničkog dijela cijele nekretnine sagrađene na k.č.br. 353/1 k.o. Pešćenica, što odgovara z.k.č.br. 7677/10 k.o. Grad Zagreb, uključujući zemljište i zajedničke dijelove i uređaje zgrade, na adresi Zagreb, Svetice 19 (ulaz</w:t>
      </w:r>
      <w:r w:rsidRPr="00E42AF0">
        <w:rPr>
          <w:rStyle w:val="Naslov1Char"/>
          <w:rFonts w:ascii="Sylfaen" w:hAnsi="Sylfaen" w:cs="Tahoma"/>
          <w:sz w:val="24"/>
          <w:szCs w:val="24"/>
        </w:rPr>
        <w:t xml:space="preserve"> u podrumski prostor u zgradi)</w:t>
      </w:r>
      <w:r w:rsidRPr="00E42AF0">
        <w:rPr>
          <w:rFonts w:ascii="Sylfaen" w:hAnsi="Sylfaen"/>
        </w:rPr>
        <w:t xml:space="preserve"> sklopljen je Ugovor o kupoprodaji nekretnine između stečajnog dužnika kao prodavatelja i </w:t>
      </w:r>
      <w:r w:rsidRPr="00E42AF0">
        <w:rPr>
          <w:rFonts w:ascii="Sylfaen" w:hAnsi="Sylfaen" w:cs="Tahoma"/>
          <w:iCs/>
        </w:rPr>
        <w:t xml:space="preserve">Zdravko Pavković iz Lučko (Grad Zagreb), Hrvatskoselska 1A, OIB: 59474928697 kao Kupca, temeljem </w:t>
      </w:r>
      <w:r w:rsidRPr="00E42AF0">
        <w:rPr>
          <w:rFonts w:ascii="Sylfaen" w:hAnsi="Sylfaen"/>
        </w:rPr>
        <w:t xml:space="preserve">ranije sklopljenog </w:t>
      </w:r>
      <w:r w:rsidRPr="00E42AF0">
        <w:rPr>
          <w:rFonts w:ascii="Sylfaen" w:hAnsi="Sylfaen" w:cs="Tahoma"/>
        </w:rPr>
        <w:t>Zapisnika o posvjedočenju činjenica kod Javnog bilježnika Mladena Ježeka iz Zagreba, Šoštarićeva 10, poslovni broj OU-28/19-8 dana 11. rujna 2019. godine, kojim se prihvaća ponuda kupca za kupoprodajnu cijenu  od ukupno 69.555,00 kn</w:t>
      </w:r>
      <w:r w:rsidRPr="00E42AF0">
        <w:rPr>
          <w:rFonts w:ascii="Sylfaen" w:hAnsi="Sylfaen" w:cs="Tahoma"/>
          <w:color w:val="000000"/>
        </w:rPr>
        <w:t xml:space="preserve"> (slovima: šesdesetdevettisućapetstopedesetpet kuna)</w:t>
      </w:r>
      <w:r>
        <w:rPr>
          <w:rFonts w:ascii="Sylfaen" w:hAnsi="Sylfaen" w:cs="Tahoma"/>
          <w:color w:val="000000"/>
        </w:rPr>
        <w:t>.</w:t>
      </w:r>
    </w:p>
    <w:p w:rsidR="00E42AF0" w:rsidP="00E42AF0" w:rsidRDefault="00E42AF0">
      <w:pPr>
        <w:spacing w:line="228" w:lineRule="auto"/>
        <w:jc w:val="both"/>
        <w:rPr>
          <w:rFonts w:ascii="Sylfaen" w:hAnsi="Sylfaen" w:cs="Tahoma"/>
        </w:rPr>
      </w:pPr>
    </w:p>
    <w:p w:rsidRPr="00E42AF0" w:rsidR="00EF24EB" w:rsidP="00E42AF0" w:rsidRDefault="00EF24EB">
      <w:pPr>
        <w:spacing w:line="228" w:lineRule="auto"/>
        <w:jc w:val="both"/>
        <w:rPr>
          <w:rFonts w:ascii="Sylfaen" w:hAnsi="Sylfaen" w:cs="Tahoma"/>
        </w:rPr>
      </w:pPr>
    </w:p>
    <w:p w:rsidRPr="00E42AF0" w:rsidR="00E42AF0" w:rsidP="00E42AF0" w:rsidRDefault="00E42AF0">
      <w:pPr>
        <w:jc w:val="both"/>
        <w:rPr>
          <w:rFonts w:ascii="Sylfaen" w:hAnsi="Sylfaen" w:cs="Tahoma"/>
        </w:rPr>
      </w:pPr>
      <w:r w:rsidRPr="00E42AF0">
        <w:rPr>
          <w:rFonts w:ascii="Sylfaen" w:hAnsi="Sylfaen"/>
        </w:rPr>
        <w:lastRenderedPageBreak/>
        <w:t xml:space="preserve">- za nekretninu upisanu kod Općinskog suda Novom Zagrebu, Zemljišnoknjižni odjel Zaprešić u zk.ul.br. 6102 , k.o. Laduč , zk.č.br. 618 - zadružni dom i dvorište - površine 783čhv, u tijeku je sklapanje Ugovora o kupoprodaji nekretnine između stečajnog dužnika i   </w:t>
      </w:r>
      <w:r w:rsidRPr="00E42AF0">
        <w:rPr>
          <w:rFonts w:ascii="Sylfaen" w:hAnsi="Sylfaen" w:cs="Tahoma"/>
          <w:iCs/>
        </w:rPr>
        <w:t xml:space="preserve">Zlatko Šimunaj iz Zagreba, Posavska 12, OIB: 89225803392 kao kupca, a temeljem </w:t>
      </w:r>
      <w:r w:rsidRPr="00E42AF0">
        <w:rPr>
          <w:rFonts w:ascii="Sylfaen" w:hAnsi="Sylfaen" w:cs="Tahoma"/>
        </w:rPr>
        <w:t>Zapisnika o posvjedočenju činjenica kod Javnog bilježnika Mladena Ježeka iz Zagreba, Šoštarićeva 10, poslovni broj OU-28/19-7 dana 31. srpnja 2019. godine, kojim se prihvaća ponuda kupca za kupoprodajnu cijenu  od ukupno 422.502,00 kn</w:t>
      </w:r>
      <w:r w:rsidRPr="00E42AF0">
        <w:rPr>
          <w:rFonts w:ascii="Sylfaen" w:hAnsi="Sylfaen" w:cs="Tahoma"/>
          <w:color w:val="000000"/>
        </w:rPr>
        <w:t xml:space="preserve"> </w:t>
      </w:r>
      <w:r w:rsidRPr="00E42AF0">
        <w:rPr>
          <w:rFonts w:ascii="Sylfaen" w:hAnsi="Sylfaen" w:cs="Tahoma"/>
        </w:rPr>
        <w:t>(slovima: četristodvadesetdvijetisuće petstodvije kunu)</w:t>
      </w:r>
      <w:r w:rsidRPr="00E42AF0">
        <w:rPr>
          <w:rFonts w:ascii="Sylfaen" w:hAnsi="Sylfaen" w:cs="Tahoma"/>
          <w:color w:val="000000"/>
        </w:rPr>
        <w:t>, a kojem sklapanju ugovora o kupoprodaji prethodi zbrinjavanje arhive nalazeće u navedenoj nekretnini kako je naprijed opisano.</w:t>
      </w:r>
    </w:p>
    <w:p w:rsidR="00E42AF0" w:rsidP="00E42AF0" w:rsidRDefault="00E42AF0">
      <w:pPr>
        <w:jc w:val="both"/>
        <w:rPr>
          <w:rFonts w:ascii="Tahoma" w:hAnsi="Tahoma" w:cs="Tahoma"/>
        </w:rPr>
      </w:pPr>
    </w:p>
    <w:p w:rsidR="00E42AF0" w:rsidP="00E42AF0" w:rsidRDefault="00E42AF0">
      <w:pPr>
        <w:jc w:val="both"/>
        <w:rPr>
          <w:rFonts w:ascii="Sylfaen" w:hAnsi="Sylfaen" w:cs="Tahoma"/>
        </w:rPr>
      </w:pPr>
      <w:r w:rsidRPr="003C422D">
        <w:rPr>
          <w:rFonts w:ascii="Sylfaen" w:hAnsi="Sylfaen" w:cs="Tahoma"/>
        </w:rPr>
        <w:t xml:space="preserve">Skreće se pozornost da do danas nisu ispunjeni uvjeti za prodaju nekretnine upisane kod Općinskog suda u Makarskoj u z.ul.br. </w:t>
      </w:r>
      <w:r w:rsidRPr="003C422D" w:rsidR="003C422D">
        <w:rPr>
          <w:rFonts w:ascii="Sylfaen" w:hAnsi="Sylfaen" w:cs="Tahoma"/>
        </w:rPr>
        <w:t>3216, k.o. Makarska – Makar i nekretnina upisanih u zk.ul.br. 1261, k.o. Kurilovec, budući su obje nek</w:t>
      </w:r>
      <w:r w:rsidR="00A22F65">
        <w:rPr>
          <w:rFonts w:ascii="Sylfaen" w:hAnsi="Sylfaen" w:cs="Tahoma"/>
        </w:rPr>
        <w:t>r</w:t>
      </w:r>
      <w:r w:rsidRPr="003C422D" w:rsidR="003C422D">
        <w:rPr>
          <w:rFonts w:ascii="Sylfaen" w:hAnsi="Sylfaen" w:cs="Tahoma"/>
        </w:rPr>
        <w:t>etnine opterećene zabilježbama spora.</w:t>
      </w:r>
    </w:p>
    <w:p w:rsidR="00A22F65" w:rsidP="00E42AF0" w:rsidRDefault="00A22F65">
      <w:pPr>
        <w:jc w:val="both"/>
        <w:rPr>
          <w:rFonts w:ascii="Sylfaen" w:hAnsi="Sylfaen" w:cs="Tahoma"/>
        </w:rPr>
      </w:pPr>
    </w:p>
    <w:p w:rsidRPr="00A22F65" w:rsidR="00A22F65" w:rsidP="00A22F65" w:rsidRDefault="00A22F65">
      <w:pPr>
        <w:jc w:val="both"/>
        <w:rPr>
          <w:rFonts w:ascii="Sylfaen" w:hAnsi="Sylfaen"/>
        </w:rPr>
      </w:pPr>
      <w:r>
        <w:rPr>
          <w:rFonts w:ascii="Sylfaen" w:hAnsi="Sylfaen"/>
        </w:rPr>
        <w:t xml:space="preserve">IV/ </w:t>
      </w:r>
      <w:r w:rsidRPr="00A22F65">
        <w:rPr>
          <w:rFonts w:ascii="Sylfaen" w:hAnsi="Sylfaen"/>
        </w:rPr>
        <w:t>Poslovni udjeli u drugim društvima</w:t>
      </w:r>
    </w:p>
    <w:p w:rsidR="00A22F65" w:rsidP="00A22F65" w:rsidRDefault="00A22F65">
      <w:pPr>
        <w:jc w:val="both"/>
        <w:rPr>
          <w:rFonts w:ascii="Sylfaen" w:hAnsi="Sylfaen"/>
        </w:rPr>
      </w:pPr>
    </w:p>
    <w:p w:rsidR="00A22F65" w:rsidP="00A22F65" w:rsidRDefault="00A22F65">
      <w:pPr>
        <w:jc w:val="both"/>
        <w:rPr>
          <w:rFonts w:ascii="Sylfaen" w:hAnsi="Sylfaen"/>
        </w:rPr>
      </w:pPr>
      <w:r w:rsidRPr="007C2C9B">
        <w:rPr>
          <w:rFonts w:ascii="Sylfaen" w:hAnsi="Sylfaen"/>
        </w:rPr>
        <w:t>Stečajni dužnik osnivač je društva GLUMINA GRADNJA d.o.o. iz Zagreba, Lipovečka 1, OIB: 69468793973</w:t>
      </w:r>
      <w:r>
        <w:rPr>
          <w:rFonts w:ascii="Sylfaen" w:hAnsi="Sylfaen"/>
        </w:rPr>
        <w:t xml:space="preserve"> u kojem smjeru se dostavlja izvješće direktorice Alme Klepac iz Zagreba od dana 06.12.2019 god.</w:t>
      </w:r>
    </w:p>
    <w:p w:rsidR="00A22F65" w:rsidP="00A22F65" w:rsidRDefault="00A22F65">
      <w:pPr>
        <w:jc w:val="both"/>
        <w:rPr>
          <w:rFonts w:ascii="Sylfaen" w:hAnsi="Sylfaen"/>
        </w:rPr>
      </w:pPr>
    </w:p>
    <w:p w:rsidR="00A22F65" w:rsidP="00A22F65" w:rsidRDefault="00A22F65">
      <w:pPr>
        <w:jc w:val="both"/>
        <w:rPr>
          <w:rFonts w:ascii="Sylfaen" w:hAnsi="Sylfaen" w:cs="Tahoma"/>
        </w:rPr>
      </w:pPr>
      <w:r>
        <w:rPr>
          <w:rFonts w:ascii="Sylfaen" w:hAnsi="Sylfaen"/>
        </w:rPr>
        <w:t xml:space="preserve">DOKAZ: izvješće od dana 06.12.2019. god. </w:t>
      </w:r>
    </w:p>
    <w:p w:rsidR="00A22F65" w:rsidP="00E42AF0" w:rsidRDefault="00A22F65">
      <w:pPr>
        <w:jc w:val="both"/>
        <w:rPr>
          <w:rFonts w:ascii="Sylfaen" w:hAnsi="Sylfaen" w:cs="Tahoma"/>
        </w:rPr>
      </w:pPr>
    </w:p>
    <w:p w:rsidR="00A22F65" w:rsidP="00E42AF0" w:rsidRDefault="00A22F65">
      <w:pPr>
        <w:jc w:val="both"/>
        <w:rPr>
          <w:rFonts w:ascii="Sylfaen" w:hAnsi="Sylfaen" w:cs="Tahoma"/>
        </w:rPr>
      </w:pPr>
    </w:p>
    <w:p w:rsidR="00A45BD2" w:rsidP="00E42AF0" w:rsidRDefault="00F33DE6">
      <w:pPr>
        <w:jc w:val="both"/>
        <w:rPr>
          <w:rFonts w:ascii="Sylfaen" w:hAnsi="Sylfaen" w:cs="Tahoma"/>
        </w:rPr>
      </w:pPr>
      <w:r>
        <w:rPr>
          <w:rFonts w:ascii="Sylfaen" w:hAnsi="Sylfaen" w:cs="Tahoma"/>
        </w:rPr>
        <w:t>V/. Stanje na računima stečajnog dužnika</w:t>
      </w:r>
    </w:p>
    <w:p w:rsidR="003C422D" w:rsidP="00E42AF0" w:rsidRDefault="003C422D">
      <w:pPr>
        <w:jc w:val="both"/>
        <w:rPr>
          <w:rFonts w:ascii="Sylfaen" w:hAnsi="Sylfaen" w:cs="Tahoma"/>
        </w:rPr>
      </w:pPr>
    </w:p>
    <w:tbl>
      <w:tblPr>
        <w:tblW w:w="10173" w:type="dxa"/>
        <w:tblInd w:w="93" w:type="dxa"/>
        <w:tblLook w:firstRow="1" w:lastRow="0" w:firstColumn="1" w:lastColumn="0" w:noHBand="0" w:noVBand="1" w:val="04A0"/>
      </w:tblPr>
      <w:tblGrid>
        <w:gridCol w:w="8760"/>
        <w:gridCol w:w="1725"/>
      </w:tblGrid>
      <w:tr w:rsidRPr="00704AD8" w:rsidR="003C422D" w:rsidTr="00775026">
        <w:trPr>
          <w:trHeight w:val="300"/>
        </w:trPr>
        <w:tc>
          <w:tcPr>
            <w:tcW w:w="8760"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704AD8" w:rsidR="003C422D" w:rsidP="0072061F" w:rsidRDefault="003C422D">
            <w:pPr>
              <w:rPr>
                <w:rFonts w:ascii="Calibri" w:hAnsi="Calibri"/>
                <w:b/>
                <w:bCs/>
                <w:color w:val="000000"/>
                <w:sz w:val="20"/>
                <w:szCs w:val="20"/>
                <w:lang w:eastAsia="hr-HR"/>
              </w:rPr>
            </w:pPr>
            <w:r w:rsidRPr="00704AD8">
              <w:rPr>
                <w:rFonts w:ascii="Calibri" w:hAnsi="Calibri"/>
                <w:b/>
                <w:bCs/>
                <w:color w:val="000000"/>
                <w:sz w:val="20"/>
                <w:szCs w:val="20"/>
                <w:lang w:eastAsia="hr-HR"/>
              </w:rPr>
              <w:t>Stanje na računima</w:t>
            </w:r>
            <w:r>
              <w:rPr>
                <w:rFonts w:ascii="Calibri" w:hAnsi="Calibri"/>
                <w:b/>
                <w:bCs/>
                <w:color w:val="000000"/>
                <w:sz w:val="20"/>
                <w:szCs w:val="20"/>
                <w:lang w:eastAsia="hr-HR"/>
              </w:rPr>
              <w:t xml:space="preserve"> na dan 30.11.2019. god. </w:t>
            </w:r>
          </w:p>
        </w:tc>
        <w:tc>
          <w:tcPr>
            <w:tcW w:w="1413" w:type="dxa"/>
            <w:tcBorders>
              <w:top w:val="single" w:color="auto" w:sz="4" w:space="0"/>
              <w:left w:val="nil"/>
              <w:bottom w:val="single" w:color="auto" w:sz="4" w:space="0"/>
              <w:right w:val="single" w:color="auto" w:sz="4" w:space="0"/>
            </w:tcBorders>
            <w:shd w:val="clear" w:color="auto" w:fill="auto"/>
            <w:noWrap/>
            <w:vAlign w:val="bottom"/>
            <w:hideMark/>
          </w:tcPr>
          <w:p w:rsidRPr="00704AD8" w:rsidR="003C422D" w:rsidP="0072061F" w:rsidRDefault="003C422D">
            <w:pPr>
              <w:rPr>
                <w:rFonts w:ascii="Calibri" w:hAnsi="Calibri"/>
                <w:color w:val="000000"/>
                <w:sz w:val="20"/>
                <w:szCs w:val="20"/>
                <w:lang w:eastAsia="hr-HR"/>
              </w:rPr>
            </w:pPr>
            <w:r w:rsidRPr="00704AD8">
              <w:rPr>
                <w:rFonts w:ascii="Calibri" w:hAnsi="Calibri"/>
                <w:color w:val="000000"/>
                <w:sz w:val="20"/>
                <w:szCs w:val="20"/>
                <w:lang w:eastAsia="hr-HR"/>
              </w:rPr>
              <w:t> </w:t>
            </w:r>
            <w:r>
              <w:rPr>
                <w:rFonts w:ascii="Calibri" w:hAnsi="Calibri"/>
                <w:color w:val="000000"/>
                <w:sz w:val="20"/>
                <w:szCs w:val="20"/>
                <w:lang w:eastAsia="hr-HR"/>
              </w:rPr>
              <w:t xml:space="preserve">                    </w:t>
            </w:r>
            <w:r w:rsidR="004A4096">
              <w:rPr>
                <w:rFonts w:ascii="Calibri" w:hAnsi="Calibri"/>
                <w:color w:val="000000"/>
                <w:sz w:val="20"/>
                <w:szCs w:val="20"/>
                <w:lang w:eastAsia="hr-HR"/>
              </w:rPr>
              <w:t>K</w:t>
            </w:r>
            <w:r>
              <w:rPr>
                <w:rFonts w:ascii="Calibri" w:hAnsi="Calibri"/>
                <w:color w:val="000000"/>
                <w:sz w:val="20"/>
                <w:szCs w:val="20"/>
                <w:lang w:eastAsia="hr-HR"/>
              </w:rPr>
              <w:t>n</w:t>
            </w:r>
            <w:r w:rsidR="004A4096">
              <w:rPr>
                <w:rFonts w:ascii="Calibri" w:hAnsi="Calibri"/>
                <w:color w:val="000000"/>
                <w:sz w:val="20"/>
                <w:szCs w:val="20"/>
                <w:lang w:eastAsia="hr-HR"/>
              </w:rPr>
              <w:t>/Eur</w:t>
            </w:r>
          </w:p>
        </w:tc>
      </w:tr>
      <w:tr w:rsidRPr="00704AD8" w:rsidR="003C422D" w:rsidTr="00775026">
        <w:trPr>
          <w:trHeight w:val="300"/>
        </w:trPr>
        <w:tc>
          <w:tcPr>
            <w:tcW w:w="8760" w:type="dxa"/>
            <w:tcBorders>
              <w:top w:val="nil"/>
              <w:left w:val="single" w:color="auto" w:sz="4" w:space="0"/>
              <w:bottom w:val="single" w:color="auto" w:sz="4" w:space="0"/>
              <w:right w:val="single" w:color="auto" w:sz="4" w:space="0"/>
            </w:tcBorders>
            <w:shd w:val="clear" w:color="auto" w:fill="auto"/>
            <w:noWrap/>
            <w:vAlign w:val="bottom"/>
            <w:hideMark/>
          </w:tcPr>
          <w:p w:rsidRPr="004A4096" w:rsidR="003C422D" w:rsidP="0072061F" w:rsidRDefault="003C422D">
            <w:pPr>
              <w:rPr>
                <w:rFonts w:ascii="Calibri" w:hAnsi="Calibri"/>
                <w:sz w:val="20"/>
                <w:szCs w:val="20"/>
                <w:lang w:eastAsia="hr-HR"/>
              </w:rPr>
            </w:pPr>
            <w:r w:rsidRPr="004A4096">
              <w:rPr>
                <w:rFonts w:ascii="Calibri" w:hAnsi="Calibri"/>
                <w:sz w:val="20"/>
                <w:szCs w:val="20"/>
                <w:lang w:eastAsia="hr-HR"/>
              </w:rPr>
              <w:t>Addiko Banka kunski</w:t>
            </w:r>
            <w:r w:rsidRPr="004A4096" w:rsidR="004A4096">
              <w:rPr>
                <w:rFonts w:ascii="Calibri" w:hAnsi="Calibri"/>
                <w:sz w:val="20"/>
                <w:szCs w:val="20"/>
                <w:lang w:eastAsia="hr-HR"/>
              </w:rPr>
              <w:t xml:space="preserve"> (Kn)</w:t>
            </w:r>
          </w:p>
        </w:tc>
        <w:tc>
          <w:tcPr>
            <w:tcW w:w="1413" w:type="dxa"/>
            <w:tcBorders>
              <w:top w:val="nil"/>
              <w:left w:val="nil"/>
              <w:bottom w:val="single" w:color="auto" w:sz="4" w:space="0"/>
              <w:right w:val="single" w:color="auto" w:sz="4" w:space="0"/>
            </w:tcBorders>
            <w:shd w:val="clear" w:color="auto" w:fill="auto"/>
            <w:noWrap/>
            <w:vAlign w:val="bottom"/>
            <w:hideMark/>
          </w:tcPr>
          <w:p w:rsidRPr="004A4096" w:rsidR="003C422D" w:rsidP="004A4096" w:rsidRDefault="003C422D">
            <w:pPr>
              <w:rPr>
                <w:rFonts w:ascii="Calibri" w:hAnsi="Calibri"/>
                <w:sz w:val="20"/>
                <w:szCs w:val="20"/>
                <w:lang w:eastAsia="hr-HR"/>
              </w:rPr>
            </w:pPr>
            <w:r w:rsidRPr="004A4096">
              <w:rPr>
                <w:rFonts w:ascii="Calibri" w:hAnsi="Calibri"/>
                <w:sz w:val="20"/>
                <w:szCs w:val="20"/>
                <w:lang w:eastAsia="hr-HR"/>
              </w:rPr>
              <w:t xml:space="preserve">  4.</w:t>
            </w:r>
            <w:r w:rsidRPr="004A4096" w:rsidR="004A4096">
              <w:rPr>
                <w:rFonts w:ascii="Calibri" w:hAnsi="Calibri"/>
                <w:sz w:val="20"/>
                <w:szCs w:val="20"/>
                <w:lang w:eastAsia="hr-HR"/>
              </w:rPr>
              <w:t>891</w:t>
            </w:r>
            <w:r w:rsidRPr="004A4096">
              <w:rPr>
                <w:rFonts w:ascii="Calibri" w:hAnsi="Calibri"/>
                <w:sz w:val="20"/>
                <w:szCs w:val="20"/>
                <w:lang w:eastAsia="hr-HR"/>
              </w:rPr>
              <w:t>.</w:t>
            </w:r>
            <w:r w:rsidRPr="004A4096" w:rsidR="004A4096">
              <w:rPr>
                <w:rFonts w:ascii="Calibri" w:hAnsi="Calibri"/>
                <w:sz w:val="20"/>
                <w:szCs w:val="20"/>
                <w:lang w:eastAsia="hr-HR"/>
              </w:rPr>
              <w:t>674</w:t>
            </w:r>
            <w:r w:rsidRPr="004A4096">
              <w:rPr>
                <w:rFonts w:ascii="Calibri" w:hAnsi="Calibri"/>
                <w:sz w:val="20"/>
                <w:szCs w:val="20"/>
                <w:lang w:eastAsia="hr-HR"/>
              </w:rPr>
              <w:t>,</w:t>
            </w:r>
            <w:r w:rsidRPr="004A4096" w:rsidR="004A4096">
              <w:rPr>
                <w:rFonts w:ascii="Calibri" w:hAnsi="Calibri"/>
                <w:sz w:val="20"/>
                <w:szCs w:val="20"/>
                <w:lang w:eastAsia="hr-HR"/>
              </w:rPr>
              <w:t>44</w:t>
            </w:r>
          </w:p>
        </w:tc>
      </w:tr>
      <w:tr w:rsidR="003C422D" w:rsidTr="00775026">
        <w:trPr>
          <w:trHeight w:val="300"/>
        </w:trPr>
        <w:tc>
          <w:tcPr>
            <w:tcW w:w="8760" w:type="dxa"/>
            <w:tcBorders>
              <w:top w:val="nil"/>
              <w:left w:val="single" w:color="auto" w:sz="4" w:space="0"/>
              <w:bottom w:val="single" w:color="auto" w:sz="4" w:space="0"/>
              <w:right w:val="single" w:color="auto" w:sz="4" w:space="0"/>
            </w:tcBorders>
            <w:shd w:val="clear" w:color="auto" w:fill="auto"/>
            <w:noWrap/>
            <w:vAlign w:val="bottom"/>
            <w:hideMark/>
          </w:tcPr>
          <w:p w:rsidRPr="004A4096" w:rsidR="003C422D" w:rsidP="0072061F" w:rsidRDefault="003C422D">
            <w:pPr>
              <w:rPr>
                <w:rFonts w:ascii="Calibri" w:hAnsi="Calibri"/>
                <w:sz w:val="20"/>
                <w:szCs w:val="20"/>
                <w:lang w:eastAsia="hr-HR"/>
              </w:rPr>
            </w:pPr>
            <w:r w:rsidRPr="004A4096">
              <w:rPr>
                <w:rFonts w:ascii="Calibri" w:hAnsi="Calibri"/>
                <w:sz w:val="20"/>
                <w:szCs w:val="20"/>
                <w:lang w:eastAsia="hr-HR"/>
              </w:rPr>
              <w:t>Addiko banka devizni</w:t>
            </w:r>
            <w:r w:rsidRPr="004A4096" w:rsidR="004A4096">
              <w:rPr>
                <w:rFonts w:ascii="Calibri" w:hAnsi="Calibri"/>
                <w:sz w:val="20"/>
                <w:szCs w:val="20"/>
                <w:lang w:eastAsia="hr-HR"/>
              </w:rPr>
              <w:t xml:space="preserve"> (Eur)</w:t>
            </w:r>
          </w:p>
        </w:tc>
        <w:tc>
          <w:tcPr>
            <w:tcW w:w="1413" w:type="dxa"/>
            <w:tcBorders>
              <w:top w:val="nil"/>
              <w:left w:val="nil"/>
              <w:bottom w:val="single" w:color="auto" w:sz="4" w:space="0"/>
              <w:right w:val="single" w:color="auto" w:sz="4" w:space="0"/>
            </w:tcBorders>
            <w:shd w:val="clear" w:color="auto" w:fill="auto"/>
            <w:noWrap/>
            <w:vAlign w:val="bottom"/>
            <w:hideMark/>
          </w:tcPr>
          <w:p w:rsidRPr="004A4096" w:rsidR="003C422D" w:rsidP="004A4096" w:rsidRDefault="003C422D">
            <w:pPr>
              <w:rPr>
                <w:rFonts w:ascii="Calibri" w:hAnsi="Calibri"/>
                <w:sz w:val="20"/>
                <w:szCs w:val="20"/>
                <w:lang w:eastAsia="hr-HR"/>
              </w:rPr>
            </w:pPr>
            <w:r w:rsidRPr="004A4096">
              <w:rPr>
                <w:rFonts w:ascii="Calibri" w:hAnsi="Calibri"/>
                <w:sz w:val="20"/>
                <w:szCs w:val="20"/>
                <w:lang w:eastAsia="hr-HR"/>
              </w:rPr>
              <w:t xml:space="preserve">    </w:t>
            </w:r>
            <w:r w:rsidRPr="004A4096" w:rsidR="004A4096">
              <w:rPr>
                <w:rFonts w:ascii="Calibri" w:hAnsi="Calibri"/>
                <w:sz w:val="20"/>
                <w:szCs w:val="20"/>
                <w:lang w:eastAsia="hr-HR"/>
              </w:rPr>
              <w:t xml:space="preserve">    58.110,81</w:t>
            </w:r>
          </w:p>
        </w:tc>
      </w:tr>
      <w:tr w:rsidRPr="00704AD8" w:rsidR="003C422D" w:rsidTr="00775026">
        <w:trPr>
          <w:trHeight w:val="300"/>
        </w:trPr>
        <w:tc>
          <w:tcPr>
            <w:tcW w:w="8760" w:type="dxa"/>
            <w:tcBorders>
              <w:top w:val="nil"/>
              <w:left w:val="single" w:color="auto" w:sz="4" w:space="0"/>
              <w:bottom w:val="single" w:color="auto" w:sz="4" w:space="0"/>
              <w:right w:val="single" w:color="auto" w:sz="4" w:space="0"/>
            </w:tcBorders>
            <w:shd w:val="clear" w:color="auto" w:fill="auto"/>
            <w:noWrap/>
            <w:vAlign w:val="bottom"/>
            <w:hideMark/>
          </w:tcPr>
          <w:p w:rsidRPr="004A4096" w:rsidR="003C422D" w:rsidP="0072061F" w:rsidRDefault="003C422D">
            <w:pPr>
              <w:rPr>
                <w:rFonts w:ascii="Calibri" w:hAnsi="Calibri"/>
                <w:sz w:val="20"/>
                <w:szCs w:val="20"/>
                <w:lang w:eastAsia="hr-HR"/>
              </w:rPr>
            </w:pPr>
            <w:r w:rsidRPr="004A4096">
              <w:rPr>
                <w:rFonts w:ascii="Calibri" w:hAnsi="Calibri"/>
                <w:sz w:val="20"/>
                <w:szCs w:val="20"/>
                <w:lang w:eastAsia="hr-HR"/>
              </w:rPr>
              <w:t>Partner banka</w:t>
            </w:r>
            <w:r w:rsidRPr="004A4096" w:rsidR="004A4096">
              <w:rPr>
                <w:rFonts w:ascii="Calibri" w:hAnsi="Calibri"/>
                <w:sz w:val="20"/>
                <w:szCs w:val="20"/>
                <w:lang w:eastAsia="hr-HR"/>
              </w:rPr>
              <w:t xml:space="preserve"> (kn)</w:t>
            </w:r>
          </w:p>
        </w:tc>
        <w:tc>
          <w:tcPr>
            <w:tcW w:w="1413" w:type="dxa"/>
            <w:tcBorders>
              <w:top w:val="nil"/>
              <w:left w:val="nil"/>
              <w:bottom w:val="single" w:color="auto" w:sz="4" w:space="0"/>
              <w:right w:val="single" w:color="auto" w:sz="4" w:space="0"/>
            </w:tcBorders>
            <w:shd w:val="clear" w:color="auto" w:fill="auto"/>
            <w:noWrap/>
            <w:vAlign w:val="bottom"/>
            <w:hideMark/>
          </w:tcPr>
          <w:p w:rsidRPr="004A4096" w:rsidR="003C422D" w:rsidP="0072061F" w:rsidRDefault="004A4096">
            <w:pPr>
              <w:jc w:val="right"/>
              <w:rPr>
                <w:rFonts w:ascii="Calibri" w:hAnsi="Calibri"/>
                <w:sz w:val="20"/>
                <w:szCs w:val="20"/>
                <w:lang w:eastAsia="hr-HR"/>
              </w:rPr>
            </w:pPr>
            <w:r w:rsidRPr="004A4096">
              <w:rPr>
                <w:rFonts w:ascii="Calibri" w:hAnsi="Calibri"/>
                <w:sz w:val="20"/>
                <w:szCs w:val="20"/>
                <w:lang w:eastAsia="hr-HR"/>
              </w:rPr>
              <w:t>32</w:t>
            </w:r>
            <w:r w:rsidRPr="004A4096" w:rsidR="003C422D">
              <w:rPr>
                <w:rFonts w:ascii="Calibri" w:hAnsi="Calibri"/>
                <w:sz w:val="20"/>
                <w:szCs w:val="20"/>
                <w:lang w:eastAsia="hr-HR"/>
              </w:rPr>
              <w:t>7.</w:t>
            </w:r>
            <w:r w:rsidRPr="004A4096">
              <w:rPr>
                <w:rFonts w:ascii="Calibri" w:hAnsi="Calibri"/>
                <w:sz w:val="20"/>
                <w:szCs w:val="20"/>
                <w:lang w:eastAsia="hr-HR"/>
              </w:rPr>
              <w:t>537</w:t>
            </w:r>
            <w:r w:rsidRPr="004A4096" w:rsidR="003C422D">
              <w:rPr>
                <w:rFonts w:ascii="Calibri" w:hAnsi="Calibri"/>
                <w:sz w:val="20"/>
                <w:szCs w:val="20"/>
                <w:lang w:eastAsia="hr-HR"/>
              </w:rPr>
              <w:t>,</w:t>
            </w:r>
            <w:r w:rsidRPr="004A4096">
              <w:rPr>
                <w:rFonts w:ascii="Calibri" w:hAnsi="Calibri"/>
                <w:sz w:val="20"/>
                <w:szCs w:val="20"/>
                <w:lang w:eastAsia="hr-HR"/>
              </w:rPr>
              <w:t>97</w:t>
            </w:r>
            <w:r w:rsidRPr="004A4096" w:rsidR="003C422D">
              <w:rPr>
                <w:rFonts w:ascii="Calibri" w:hAnsi="Calibri"/>
                <w:sz w:val="20"/>
                <w:szCs w:val="20"/>
                <w:lang w:eastAsia="hr-HR"/>
              </w:rPr>
              <w:t xml:space="preserve"> </w:t>
            </w:r>
          </w:p>
        </w:tc>
      </w:tr>
      <w:tr w:rsidRPr="00C62BD2" w:rsidR="003C422D" w:rsidTr="00775026">
        <w:trPr>
          <w:trHeight w:val="300"/>
        </w:trPr>
        <w:tc>
          <w:tcPr>
            <w:tcW w:w="8760" w:type="dxa"/>
            <w:tcBorders>
              <w:top w:val="nil"/>
              <w:left w:val="single" w:color="auto" w:sz="4" w:space="0"/>
              <w:bottom w:val="single" w:color="auto" w:sz="4" w:space="0"/>
              <w:right w:val="single" w:color="auto" w:sz="4" w:space="0"/>
            </w:tcBorders>
            <w:shd w:val="clear" w:color="auto" w:fill="auto"/>
            <w:noWrap/>
            <w:vAlign w:val="bottom"/>
            <w:hideMark/>
          </w:tcPr>
          <w:p w:rsidRPr="00A45BD2" w:rsidR="003C422D" w:rsidP="0072061F" w:rsidRDefault="003C422D">
            <w:pPr>
              <w:rPr>
                <w:rFonts w:ascii="Calibri" w:hAnsi="Calibri"/>
                <w:sz w:val="20"/>
                <w:szCs w:val="20"/>
                <w:lang w:eastAsia="hr-HR"/>
              </w:rPr>
            </w:pPr>
            <w:r w:rsidRPr="00A45BD2">
              <w:rPr>
                <w:rFonts w:ascii="Calibri" w:hAnsi="Calibri"/>
                <w:sz w:val="20"/>
                <w:szCs w:val="20"/>
                <w:lang w:eastAsia="hr-HR"/>
              </w:rPr>
              <w:t xml:space="preserve">Zagrebačka banka </w:t>
            </w:r>
            <w:r w:rsidRPr="00A45BD2" w:rsidR="00A45BD2">
              <w:rPr>
                <w:rFonts w:ascii="Calibri" w:hAnsi="Calibri"/>
                <w:sz w:val="20"/>
                <w:szCs w:val="20"/>
                <w:lang w:eastAsia="hr-HR"/>
              </w:rPr>
              <w:t>–</w:t>
            </w:r>
            <w:r w:rsidRPr="00A45BD2">
              <w:rPr>
                <w:rFonts w:ascii="Calibri" w:hAnsi="Calibri"/>
                <w:sz w:val="20"/>
                <w:szCs w:val="20"/>
                <w:lang w:eastAsia="hr-HR"/>
              </w:rPr>
              <w:t xml:space="preserve"> depozit</w:t>
            </w:r>
            <w:r w:rsidRPr="00A45BD2" w:rsidR="00A45BD2">
              <w:rPr>
                <w:rFonts w:ascii="Calibri" w:hAnsi="Calibri"/>
                <w:sz w:val="20"/>
                <w:szCs w:val="20"/>
                <w:lang w:eastAsia="hr-HR"/>
              </w:rPr>
              <w:t xml:space="preserve"> (kn)</w:t>
            </w:r>
          </w:p>
        </w:tc>
        <w:tc>
          <w:tcPr>
            <w:tcW w:w="1413" w:type="dxa"/>
            <w:tcBorders>
              <w:top w:val="nil"/>
              <w:left w:val="nil"/>
              <w:bottom w:val="single" w:color="auto" w:sz="4" w:space="0"/>
              <w:right w:val="single" w:color="auto" w:sz="4" w:space="0"/>
            </w:tcBorders>
            <w:shd w:val="clear" w:color="auto" w:fill="auto"/>
            <w:noWrap/>
            <w:vAlign w:val="bottom"/>
            <w:hideMark/>
          </w:tcPr>
          <w:p w:rsidRPr="00775026" w:rsidR="003C422D" w:rsidP="0072061F" w:rsidRDefault="003C422D">
            <w:pPr>
              <w:jc w:val="right"/>
              <w:rPr>
                <w:rFonts w:ascii="Calibri" w:hAnsi="Calibri"/>
                <w:sz w:val="20"/>
                <w:szCs w:val="20"/>
                <w:lang w:eastAsia="hr-HR"/>
              </w:rPr>
            </w:pPr>
            <w:r w:rsidRPr="00775026">
              <w:rPr>
                <w:rFonts w:ascii="Calibri" w:hAnsi="Calibri"/>
                <w:sz w:val="20"/>
                <w:szCs w:val="20"/>
                <w:lang w:eastAsia="hr-HR"/>
              </w:rPr>
              <w:t xml:space="preserve">2.488.163,91 </w:t>
            </w:r>
          </w:p>
        </w:tc>
      </w:tr>
      <w:tr w:rsidRPr="00C62BD2" w:rsidR="003C422D" w:rsidTr="00775026">
        <w:trPr>
          <w:trHeight w:val="300"/>
        </w:trPr>
        <w:tc>
          <w:tcPr>
            <w:tcW w:w="8760" w:type="dxa"/>
            <w:tcBorders>
              <w:top w:val="nil"/>
              <w:left w:val="single" w:color="auto" w:sz="4" w:space="0"/>
              <w:bottom w:val="single" w:color="auto" w:sz="4" w:space="0"/>
              <w:right w:val="single" w:color="auto" w:sz="4" w:space="0"/>
            </w:tcBorders>
            <w:shd w:val="clear" w:color="auto" w:fill="auto"/>
            <w:noWrap/>
            <w:vAlign w:val="bottom"/>
            <w:hideMark/>
          </w:tcPr>
          <w:p w:rsidRPr="00775026" w:rsidR="003C422D" w:rsidP="0072061F" w:rsidRDefault="003C422D">
            <w:pPr>
              <w:rPr>
                <w:rFonts w:ascii="Calibri" w:hAnsi="Calibri"/>
                <w:sz w:val="20"/>
                <w:szCs w:val="20"/>
                <w:lang w:eastAsia="hr-HR"/>
              </w:rPr>
            </w:pPr>
            <w:r w:rsidRPr="00775026">
              <w:rPr>
                <w:rFonts w:ascii="Calibri" w:hAnsi="Calibri"/>
                <w:sz w:val="20"/>
                <w:szCs w:val="20"/>
                <w:lang w:eastAsia="hr-HR"/>
              </w:rPr>
              <w:t>Croatia banka devizni</w:t>
            </w:r>
            <w:r w:rsidRPr="00775026" w:rsidR="004A4096">
              <w:rPr>
                <w:rFonts w:ascii="Calibri" w:hAnsi="Calibri"/>
                <w:sz w:val="20"/>
                <w:szCs w:val="20"/>
                <w:lang w:eastAsia="hr-HR"/>
              </w:rPr>
              <w:t xml:space="preserve"> (Eur)</w:t>
            </w:r>
          </w:p>
        </w:tc>
        <w:tc>
          <w:tcPr>
            <w:tcW w:w="1413" w:type="dxa"/>
            <w:tcBorders>
              <w:top w:val="nil"/>
              <w:left w:val="nil"/>
              <w:bottom w:val="single" w:color="auto" w:sz="4" w:space="0"/>
              <w:right w:val="single" w:color="auto" w:sz="4" w:space="0"/>
            </w:tcBorders>
            <w:shd w:val="clear" w:color="auto" w:fill="auto"/>
            <w:noWrap/>
            <w:vAlign w:val="bottom"/>
            <w:hideMark/>
          </w:tcPr>
          <w:p w:rsidRPr="00775026" w:rsidR="003C422D" w:rsidP="0072061F" w:rsidRDefault="004A4096">
            <w:pPr>
              <w:jc w:val="right"/>
              <w:rPr>
                <w:rFonts w:ascii="Calibri" w:hAnsi="Calibri"/>
                <w:sz w:val="20"/>
                <w:szCs w:val="20"/>
                <w:lang w:eastAsia="hr-HR"/>
              </w:rPr>
            </w:pPr>
            <w:r w:rsidRPr="00775026">
              <w:rPr>
                <w:rFonts w:ascii="Calibri" w:hAnsi="Calibri"/>
                <w:sz w:val="20"/>
                <w:szCs w:val="20"/>
                <w:lang w:eastAsia="hr-HR"/>
              </w:rPr>
              <w:t>63</w:t>
            </w:r>
            <w:r w:rsidRPr="00775026" w:rsidR="003C422D">
              <w:rPr>
                <w:rFonts w:ascii="Calibri" w:hAnsi="Calibri"/>
                <w:sz w:val="20"/>
                <w:szCs w:val="20"/>
                <w:lang w:eastAsia="hr-HR"/>
              </w:rPr>
              <w:t>.</w:t>
            </w:r>
            <w:r w:rsidRPr="00775026">
              <w:rPr>
                <w:rFonts w:ascii="Calibri" w:hAnsi="Calibri"/>
                <w:sz w:val="20"/>
                <w:szCs w:val="20"/>
                <w:lang w:eastAsia="hr-HR"/>
              </w:rPr>
              <w:t>684</w:t>
            </w:r>
            <w:r w:rsidRPr="00775026" w:rsidR="003C422D">
              <w:rPr>
                <w:rFonts w:ascii="Calibri" w:hAnsi="Calibri"/>
                <w:sz w:val="20"/>
                <w:szCs w:val="20"/>
                <w:lang w:eastAsia="hr-HR"/>
              </w:rPr>
              <w:t>,</w:t>
            </w:r>
            <w:r w:rsidRPr="00775026">
              <w:rPr>
                <w:rFonts w:ascii="Calibri" w:hAnsi="Calibri"/>
                <w:sz w:val="20"/>
                <w:szCs w:val="20"/>
                <w:lang w:eastAsia="hr-HR"/>
              </w:rPr>
              <w:t>26</w:t>
            </w:r>
            <w:r w:rsidRPr="00775026" w:rsidR="003C422D">
              <w:rPr>
                <w:rFonts w:ascii="Calibri" w:hAnsi="Calibri"/>
                <w:sz w:val="20"/>
                <w:szCs w:val="20"/>
                <w:lang w:eastAsia="hr-HR"/>
              </w:rPr>
              <w:t xml:space="preserve"> </w:t>
            </w:r>
          </w:p>
        </w:tc>
      </w:tr>
      <w:tr w:rsidRPr="00704AD8" w:rsidR="003C422D" w:rsidTr="00775026">
        <w:trPr>
          <w:trHeight w:val="300"/>
        </w:trPr>
        <w:tc>
          <w:tcPr>
            <w:tcW w:w="8760" w:type="dxa"/>
            <w:tcBorders>
              <w:top w:val="nil"/>
              <w:left w:val="single" w:color="auto" w:sz="4" w:space="0"/>
              <w:bottom w:val="single" w:color="auto" w:sz="4" w:space="0"/>
              <w:right w:val="single" w:color="auto" w:sz="4" w:space="0"/>
            </w:tcBorders>
            <w:shd w:val="clear" w:color="auto" w:fill="auto"/>
            <w:noWrap/>
            <w:vAlign w:val="bottom"/>
            <w:hideMark/>
          </w:tcPr>
          <w:p w:rsidRPr="00775026" w:rsidR="003C422D" w:rsidP="0072061F" w:rsidRDefault="003C422D">
            <w:pPr>
              <w:rPr>
                <w:rFonts w:ascii="Calibri" w:hAnsi="Calibri"/>
                <w:sz w:val="20"/>
                <w:szCs w:val="20"/>
                <w:lang w:eastAsia="hr-HR"/>
              </w:rPr>
            </w:pPr>
            <w:r w:rsidRPr="00775026">
              <w:rPr>
                <w:rFonts w:ascii="Calibri" w:hAnsi="Calibri"/>
                <w:sz w:val="20"/>
                <w:szCs w:val="20"/>
                <w:lang w:eastAsia="hr-HR"/>
              </w:rPr>
              <w:t>Croatia banka</w:t>
            </w:r>
            <w:r w:rsidRPr="00775026" w:rsidR="004A4096">
              <w:rPr>
                <w:rFonts w:ascii="Calibri" w:hAnsi="Calibri"/>
                <w:sz w:val="20"/>
                <w:szCs w:val="20"/>
                <w:lang w:eastAsia="hr-HR"/>
              </w:rPr>
              <w:t xml:space="preserve"> depozit (kn)</w:t>
            </w:r>
          </w:p>
        </w:tc>
        <w:tc>
          <w:tcPr>
            <w:tcW w:w="1413" w:type="dxa"/>
            <w:tcBorders>
              <w:top w:val="nil"/>
              <w:left w:val="nil"/>
              <w:bottom w:val="single" w:color="auto" w:sz="4" w:space="0"/>
              <w:right w:val="single" w:color="auto" w:sz="4" w:space="0"/>
            </w:tcBorders>
            <w:shd w:val="clear" w:color="auto" w:fill="auto"/>
            <w:noWrap/>
            <w:vAlign w:val="bottom"/>
            <w:hideMark/>
          </w:tcPr>
          <w:p w:rsidRPr="00775026" w:rsidR="003C422D" w:rsidP="0072061F" w:rsidRDefault="003C422D">
            <w:pPr>
              <w:jc w:val="right"/>
              <w:rPr>
                <w:rFonts w:ascii="Calibri" w:hAnsi="Calibri"/>
                <w:sz w:val="20"/>
                <w:szCs w:val="20"/>
                <w:lang w:eastAsia="hr-HR"/>
              </w:rPr>
            </w:pPr>
            <w:r w:rsidRPr="00775026">
              <w:rPr>
                <w:rFonts w:ascii="Calibri" w:hAnsi="Calibri"/>
                <w:sz w:val="20"/>
                <w:szCs w:val="20"/>
                <w:lang w:eastAsia="hr-HR"/>
              </w:rPr>
              <w:t>11.</w:t>
            </w:r>
            <w:r w:rsidRPr="00775026" w:rsidR="004A4096">
              <w:rPr>
                <w:rFonts w:ascii="Calibri" w:hAnsi="Calibri"/>
                <w:sz w:val="20"/>
                <w:szCs w:val="20"/>
                <w:lang w:eastAsia="hr-HR"/>
              </w:rPr>
              <w:t>750.000,00</w:t>
            </w:r>
            <w:r w:rsidRPr="00775026">
              <w:rPr>
                <w:rFonts w:ascii="Calibri" w:hAnsi="Calibri"/>
                <w:sz w:val="20"/>
                <w:szCs w:val="20"/>
                <w:lang w:eastAsia="hr-HR"/>
              </w:rPr>
              <w:t xml:space="preserve"> </w:t>
            </w:r>
          </w:p>
        </w:tc>
      </w:tr>
      <w:tr w:rsidRPr="00704AD8" w:rsidR="004A4096" w:rsidTr="00775026">
        <w:trPr>
          <w:trHeight w:val="300"/>
        </w:trPr>
        <w:tc>
          <w:tcPr>
            <w:tcW w:w="8760" w:type="dxa"/>
            <w:tcBorders>
              <w:top w:val="nil"/>
              <w:left w:val="single" w:color="auto" w:sz="4" w:space="0"/>
              <w:bottom w:val="single" w:color="auto" w:sz="4" w:space="0"/>
              <w:right w:val="single" w:color="auto" w:sz="4" w:space="0"/>
            </w:tcBorders>
            <w:shd w:val="clear" w:color="auto" w:fill="auto"/>
            <w:noWrap/>
            <w:vAlign w:val="bottom"/>
            <w:hideMark/>
          </w:tcPr>
          <w:p w:rsidRPr="00775026" w:rsidR="004A4096" w:rsidP="0072061F" w:rsidRDefault="004A4096">
            <w:pPr>
              <w:rPr>
                <w:rFonts w:ascii="Calibri" w:hAnsi="Calibri"/>
                <w:sz w:val="20"/>
                <w:szCs w:val="20"/>
                <w:lang w:eastAsia="hr-HR"/>
              </w:rPr>
            </w:pPr>
            <w:r w:rsidRPr="00775026">
              <w:rPr>
                <w:rFonts w:ascii="Calibri" w:hAnsi="Calibri"/>
                <w:sz w:val="20"/>
                <w:szCs w:val="20"/>
                <w:lang w:eastAsia="hr-HR"/>
              </w:rPr>
              <w:t>Croatia banka kunski (kn)</w:t>
            </w:r>
          </w:p>
        </w:tc>
        <w:tc>
          <w:tcPr>
            <w:tcW w:w="1413" w:type="dxa"/>
            <w:tcBorders>
              <w:top w:val="nil"/>
              <w:left w:val="nil"/>
              <w:bottom w:val="single" w:color="auto" w:sz="4" w:space="0"/>
              <w:right w:val="single" w:color="auto" w:sz="4" w:space="0"/>
            </w:tcBorders>
            <w:shd w:val="clear" w:color="auto" w:fill="auto"/>
            <w:noWrap/>
            <w:vAlign w:val="bottom"/>
            <w:hideMark/>
          </w:tcPr>
          <w:p w:rsidRPr="00775026" w:rsidR="004A4096" w:rsidP="0072061F" w:rsidRDefault="004A4096">
            <w:pPr>
              <w:jc w:val="right"/>
              <w:rPr>
                <w:rFonts w:ascii="Calibri" w:hAnsi="Calibri"/>
                <w:sz w:val="20"/>
                <w:szCs w:val="20"/>
                <w:lang w:eastAsia="hr-HR"/>
              </w:rPr>
            </w:pPr>
            <w:r w:rsidRPr="00775026">
              <w:rPr>
                <w:rFonts w:ascii="Calibri" w:hAnsi="Calibri"/>
                <w:sz w:val="20"/>
                <w:szCs w:val="20"/>
                <w:lang w:eastAsia="hr-HR"/>
              </w:rPr>
              <w:t>50.210,22</w:t>
            </w:r>
          </w:p>
        </w:tc>
      </w:tr>
      <w:tr w:rsidR="003C422D" w:rsidTr="00775026">
        <w:trPr>
          <w:trHeight w:val="300"/>
        </w:trPr>
        <w:tc>
          <w:tcPr>
            <w:tcW w:w="8760" w:type="dxa"/>
            <w:tcBorders>
              <w:top w:val="nil"/>
              <w:left w:val="single" w:color="auto" w:sz="4" w:space="0"/>
              <w:bottom w:val="single" w:color="auto" w:sz="4" w:space="0"/>
              <w:right w:val="single" w:color="auto" w:sz="4" w:space="0"/>
            </w:tcBorders>
            <w:shd w:val="clear" w:color="auto" w:fill="auto"/>
            <w:noWrap/>
            <w:vAlign w:val="bottom"/>
            <w:hideMark/>
          </w:tcPr>
          <w:p w:rsidRPr="00775026" w:rsidR="003C422D" w:rsidP="0072061F" w:rsidRDefault="003C422D">
            <w:pPr>
              <w:rPr>
                <w:rFonts w:ascii="Calibri" w:hAnsi="Calibri"/>
                <w:sz w:val="20"/>
                <w:szCs w:val="20"/>
                <w:lang w:eastAsia="hr-HR"/>
              </w:rPr>
            </w:pPr>
            <w:r w:rsidRPr="00775026">
              <w:rPr>
                <w:rFonts w:ascii="Calibri" w:hAnsi="Calibri"/>
                <w:sz w:val="20"/>
                <w:szCs w:val="20"/>
                <w:lang w:eastAsia="hr-HR"/>
              </w:rPr>
              <w:t>Stanje blagajne</w:t>
            </w:r>
            <w:r w:rsidR="00A45BD2">
              <w:rPr>
                <w:rFonts w:ascii="Calibri" w:hAnsi="Calibri"/>
                <w:sz w:val="20"/>
                <w:szCs w:val="20"/>
                <w:lang w:eastAsia="hr-HR"/>
              </w:rPr>
              <w:t xml:space="preserve"> (kn)</w:t>
            </w:r>
          </w:p>
        </w:tc>
        <w:tc>
          <w:tcPr>
            <w:tcW w:w="1413" w:type="dxa"/>
            <w:tcBorders>
              <w:top w:val="nil"/>
              <w:left w:val="nil"/>
              <w:bottom w:val="single" w:color="auto" w:sz="4" w:space="0"/>
              <w:right w:val="single" w:color="auto" w:sz="4" w:space="0"/>
            </w:tcBorders>
            <w:shd w:val="clear" w:color="auto" w:fill="auto"/>
            <w:noWrap/>
            <w:vAlign w:val="bottom"/>
            <w:hideMark/>
          </w:tcPr>
          <w:p w:rsidRPr="00775026" w:rsidR="003C422D" w:rsidP="004A4096" w:rsidRDefault="004A4096">
            <w:pPr>
              <w:jc w:val="right"/>
              <w:rPr>
                <w:rFonts w:ascii="Calibri" w:hAnsi="Calibri"/>
                <w:sz w:val="20"/>
                <w:szCs w:val="20"/>
                <w:lang w:eastAsia="hr-HR"/>
              </w:rPr>
            </w:pPr>
            <w:r w:rsidRPr="00775026">
              <w:rPr>
                <w:rFonts w:ascii="Calibri" w:hAnsi="Calibri"/>
                <w:sz w:val="20"/>
                <w:szCs w:val="20"/>
                <w:lang w:eastAsia="hr-HR"/>
              </w:rPr>
              <w:t>6</w:t>
            </w:r>
            <w:r w:rsidRPr="00775026" w:rsidR="003C422D">
              <w:rPr>
                <w:rFonts w:ascii="Calibri" w:hAnsi="Calibri"/>
                <w:sz w:val="20"/>
                <w:szCs w:val="20"/>
                <w:lang w:eastAsia="hr-HR"/>
              </w:rPr>
              <w:t>.</w:t>
            </w:r>
            <w:r w:rsidRPr="00775026">
              <w:rPr>
                <w:rFonts w:ascii="Calibri" w:hAnsi="Calibri"/>
                <w:sz w:val="20"/>
                <w:szCs w:val="20"/>
                <w:lang w:eastAsia="hr-HR"/>
              </w:rPr>
              <w:t>536</w:t>
            </w:r>
            <w:r w:rsidRPr="00775026" w:rsidR="003C422D">
              <w:rPr>
                <w:rFonts w:ascii="Calibri" w:hAnsi="Calibri"/>
                <w:sz w:val="20"/>
                <w:szCs w:val="20"/>
                <w:lang w:eastAsia="hr-HR"/>
              </w:rPr>
              <w:t>,</w:t>
            </w:r>
            <w:r w:rsidRPr="00775026">
              <w:rPr>
                <w:rFonts w:ascii="Calibri" w:hAnsi="Calibri"/>
                <w:sz w:val="20"/>
                <w:szCs w:val="20"/>
                <w:lang w:eastAsia="hr-HR"/>
              </w:rPr>
              <w:t>95</w:t>
            </w:r>
          </w:p>
        </w:tc>
      </w:tr>
    </w:tbl>
    <w:p w:rsidRPr="003C422D" w:rsidR="003C422D" w:rsidP="00E42AF0" w:rsidRDefault="003C422D">
      <w:pPr>
        <w:jc w:val="both"/>
        <w:rPr>
          <w:rFonts w:ascii="Sylfaen" w:hAnsi="Sylfaen" w:cs="Tahoma"/>
        </w:rPr>
      </w:pPr>
    </w:p>
    <w:p w:rsidR="00F44854" w:rsidP="009D4DE7" w:rsidRDefault="00F44854">
      <w:pPr>
        <w:rPr>
          <w:rFonts w:ascii="Sylfaen" w:hAnsi="Sylfaen"/>
          <w:b/>
        </w:rPr>
      </w:pPr>
    </w:p>
    <w:p w:rsidR="007C4C73" w:rsidP="009D4DE7" w:rsidRDefault="007C4C73">
      <w:pPr>
        <w:rPr>
          <w:rFonts w:ascii="Sylfaen" w:hAnsi="Sylfaen"/>
          <w:b/>
        </w:rPr>
      </w:pPr>
    </w:p>
    <w:p w:rsidR="00CA7A44" w:rsidP="009D4DE7" w:rsidRDefault="00CA7A44">
      <w:pPr>
        <w:rPr>
          <w:rFonts w:ascii="Sylfaen" w:hAnsi="Sylfaen"/>
          <w:b/>
        </w:rPr>
      </w:pPr>
    </w:p>
    <w:p w:rsidR="00CA7A44" w:rsidP="009D4DE7" w:rsidRDefault="00CA7A44">
      <w:pPr>
        <w:rPr>
          <w:rFonts w:ascii="Sylfaen" w:hAnsi="Sylfaen"/>
          <w:b/>
        </w:rPr>
      </w:pPr>
    </w:p>
    <w:p w:rsidR="00CA7A44" w:rsidP="009D4DE7" w:rsidRDefault="00CA7A44">
      <w:pPr>
        <w:rPr>
          <w:rFonts w:ascii="Sylfaen" w:hAnsi="Sylfaen"/>
          <w:b/>
        </w:rPr>
      </w:pPr>
    </w:p>
    <w:p w:rsidRPr="00E523B4" w:rsidR="00F44854" w:rsidP="00F44854" w:rsidRDefault="00F44854">
      <w:pPr>
        <w:jc w:val="both"/>
        <w:rPr>
          <w:rFonts w:ascii="Sylfaen" w:hAnsi="Sylfaen"/>
          <w:b/>
          <w:sz w:val="28"/>
          <w:szCs w:val="28"/>
        </w:rPr>
      </w:pPr>
      <w:r w:rsidRPr="00E523B4">
        <w:rPr>
          <w:rFonts w:ascii="Sylfaen" w:hAnsi="Sylfaen"/>
          <w:b/>
          <w:sz w:val="28"/>
          <w:szCs w:val="28"/>
        </w:rPr>
        <w:lastRenderedPageBreak/>
        <w:t xml:space="preserve">TROŠKOVI STEČAJNOG POSTUPKA GLUMINA BANKA d.d. u stečaju  od </w:t>
      </w:r>
      <w:r>
        <w:rPr>
          <w:rFonts w:ascii="Sylfaen" w:hAnsi="Sylfaen"/>
          <w:b/>
          <w:sz w:val="28"/>
          <w:szCs w:val="28"/>
        </w:rPr>
        <w:t>01.09.2019. god. do 30.11</w:t>
      </w:r>
      <w:r w:rsidRPr="00E523B4">
        <w:rPr>
          <w:rFonts w:ascii="Sylfaen" w:hAnsi="Sylfaen"/>
          <w:b/>
          <w:sz w:val="28"/>
          <w:szCs w:val="28"/>
        </w:rPr>
        <w:t xml:space="preserve">.2019. god. </w:t>
      </w:r>
    </w:p>
    <w:p w:rsidRPr="00E523B4" w:rsidR="00F44854" w:rsidP="00F44854" w:rsidRDefault="00F44854">
      <w:pPr>
        <w:jc w:val="both"/>
        <w:rPr>
          <w:rFonts w:ascii="Sylfaen" w:hAnsi="Sylfaen"/>
          <w:b/>
          <w:sz w:val="28"/>
          <w:szCs w:val="28"/>
        </w:rPr>
      </w:pPr>
    </w:p>
    <w:tbl>
      <w:tblPr>
        <w:tblW w:w="9223" w:type="dxa"/>
        <w:tblInd w:w="93" w:type="dxa"/>
        <w:tblLook w:firstRow="1" w:lastRow="0" w:firstColumn="1" w:lastColumn="0" w:noHBand="0" w:noVBand="1" w:val="04A0"/>
      </w:tblPr>
      <w:tblGrid>
        <w:gridCol w:w="883"/>
        <w:gridCol w:w="6560"/>
        <w:gridCol w:w="1780"/>
      </w:tblGrid>
      <w:tr w:rsidRPr="00E523B4" w:rsidR="00F44854" w:rsidTr="0072061F">
        <w:trPr>
          <w:trHeight w:val="315"/>
        </w:trPr>
        <w:tc>
          <w:tcPr>
            <w:tcW w:w="883" w:type="dxa"/>
            <w:tcBorders>
              <w:top w:val="single" w:color="auto" w:sz="8" w:space="0"/>
              <w:left w:val="single" w:color="auto" w:sz="8" w:space="0"/>
              <w:bottom w:val="single" w:color="auto" w:sz="8" w:space="0"/>
              <w:right w:val="nil"/>
            </w:tcBorders>
            <w:shd w:val="clear" w:color="auto" w:fill="auto"/>
            <w:noWrap/>
            <w:vAlign w:val="bottom"/>
            <w:hideMark/>
          </w:tcPr>
          <w:p w:rsidRPr="00E523B4" w:rsidR="00F44854" w:rsidP="0072061F" w:rsidRDefault="00F44854">
            <w:pPr>
              <w:rPr>
                <w:rFonts w:ascii="Calibri" w:hAnsi="Calibri"/>
                <w:b/>
                <w:bCs/>
                <w:sz w:val="22"/>
                <w:szCs w:val="22"/>
                <w:lang w:eastAsia="hr-HR"/>
              </w:rPr>
            </w:pPr>
            <w:r w:rsidRPr="00E523B4">
              <w:rPr>
                <w:rFonts w:ascii="Calibri" w:hAnsi="Calibri"/>
                <w:b/>
                <w:bCs/>
                <w:sz w:val="22"/>
                <w:szCs w:val="22"/>
                <w:lang w:eastAsia="hr-HR"/>
              </w:rPr>
              <w:t>Red.br.</w:t>
            </w:r>
          </w:p>
        </w:tc>
        <w:tc>
          <w:tcPr>
            <w:tcW w:w="6560" w:type="dxa"/>
            <w:tcBorders>
              <w:top w:val="single" w:color="auto" w:sz="8" w:space="0"/>
              <w:left w:val="single" w:color="auto" w:sz="8" w:space="0"/>
              <w:bottom w:val="single" w:color="auto" w:sz="8" w:space="0"/>
              <w:right w:val="single" w:color="auto" w:sz="8" w:space="0"/>
            </w:tcBorders>
            <w:shd w:val="clear" w:color="auto" w:fill="auto"/>
            <w:noWrap/>
            <w:vAlign w:val="bottom"/>
            <w:hideMark/>
          </w:tcPr>
          <w:p w:rsidRPr="00E523B4" w:rsidR="00F44854" w:rsidP="0072061F" w:rsidRDefault="00F44854">
            <w:pPr>
              <w:jc w:val="center"/>
              <w:rPr>
                <w:rFonts w:ascii="Calibri" w:hAnsi="Calibri"/>
                <w:b/>
                <w:bCs/>
                <w:sz w:val="22"/>
                <w:szCs w:val="22"/>
                <w:lang w:eastAsia="hr-HR"/>
              </w:rPr>
            </w:pPr>
            <w:r w:rsidRPr="00E523B4">
              <w:rPr>
                <w:rFonts w:ascii="Calibri" w:hAnsi="Calibri"/>
                <w:b/>
                <w:bCs/>
                <w:sz w:val="22"/>
                <w:szCs w:val="22"/>
                <w:lang w:eastAsia="hr-HR"/>
              </w:rPr>
              <w:t>VRSTA TROŠKA</w:t>
            </w:r>
          </w:p>
        </w:tc>
        <w:tc>
          <w:tcPr>
            <w:tcW w:w="1780" w:type="dxa"/>
            <w:tcBorders>
              <w:top w:val="single" w:color="auto" w:sz="8" w:space="0"/>
              <w:left w:val="nil"/>
              <w:bottom w:val="single" w:color="auto" w:sz="8" w:space="0"/>
              <w:right w:val="single" w:color="auto" w:sz="8" w:space="0"/>
            </w:tcBorders>
            <w:shd w:val="clear" w:color="auto" w:fill="auto"/>
            <w:noWrap/>
            <w:vAlign w:val="bottom"/>
            <w:hideMark/>
          </w:tcPr>
          <w:p w:rsidRPr="00E523B4" w:rsidR="00F44854" w:rsidP="0072061F" w:rsidRDefault="00F44854">
            <w:pPr>
              <w:jc w:val="center"/>
              <w:rPr>
                <w:rFonts w:ascii="Calibri" w:hAnsi="Calibri"/>
                <w:b/>
                <w:bCs/>
                <w:sz w:val="22"/>
                <w:szCs w:val="22"/>
                <w:lang w:eastAsia="hr-HR"/>
              </w:rPr>
            </w:pPr>
            <w:r w:rsidRPr="00E523B4">
              <w:rPr>
                <w:rFonts w:ascii="Calibri" w:hAnsi="Calibri"/>
                <w:b/>
                <w:bCs/>
                <w:sz w:val="22"/>
                <w:szCs w:val="22"/>
                <w:lang w:eastAsia="hr-HR"/>
              </w:rPr>
              <w:t>IZNOS</w:t>
            </w:r>
          </w:p>
        </w:tc>
      </w:tr>
      <w:tr w:rsidRPr="00E523B4" w:rsidR="00F44854" w:rsidTr="0072061F">
        <w:trPr>
          <w:trHeight w:val="300"/>
        </w:trPr>
        <w:tc>
          <w:tcPr>
            <w:tcW w:w="883" w:type="dxa"/>
            <w:tcBorders>
              <w:top w:val="nil"/>
              <w:left w:val="single" w:color="auto" w:sz="8" w:space="0"/>
              <w:bottom w:val="single" w:color="auto" w:sz="4" w:space="0"/>
              <w:right w:val="single" w:color="auto" w:sz="8" w:space="0"/>
            </w:tcBorders>
            <w:shd w:val="clear" w:color="auto" w:fill="auto"/>
            <w:noWrap/>
            <w:vAlign w:val="bottom"/>
            <w:hideMark/>
          </w:tcPr>
          <w:p w:rsidRPr="00E523B4" w:rsidR="00F44854" w:rsidP="0072061F" w:rsidRDefault="00F44854">
            <w:pPr>
              <w:jc w:val="center"/>
              <w:rPr>
                <w:rFonts w:ascii="Calibri" w:hAnsi="Calibri"/>
                <w:sz w:val="22"/>
                <w:szCs w:val="22"/>
                <w:lang w:eastAsia="hr-HR"/>
              </w:rPr>
            </w:pPr>
            <w:r w:rsidRPr="00E523B4">
              <w:rPr>
                <w:rFonts w:ascii="Calibri" w:hAnsi="Calibri"/>
                <w:sz w:val="22"/>
                <w:szCs w:val="22"/>
                <w:lang w:eastAsia="hr-HR"/>
              </w:rPr>
              <w:t>1</w:t>
            </w:r>
          </w:p>
        </w:tc>
        <w:tc>
          <w:tcPr>
            <w:tcW w:w="6560" w:type="dxa"/>
            <w:tcBorders>
              <w:top w:val="nil"/>
              <w:left w:val="nil"/>
              <w:bottom w:val="single" w:color="auto" w:sz="4" w:space="0"/>
              <w:right w:val="single" w:color="auto" w:sz="8" w:space="0"/>
            </w:tcBorders>
            <w:shd w:val="clear" w:color="auto" w:fill="auto"/>
            <w:noWrap/>
            <w:vAlign w:val="bottom"/>
            <w:hideMark/>
          </w:tcPr>
          <w:p w:rsidRPr="00E523B4" w:rsidR="00F44854" w:rsidP="0072061F" w:rsidRDefault="00F44854">
            <w:pPr>
              <w:jc w:val="center"/>
              <w:rPr>
                <w:rFonts w:ascii="Calibri" w:hAnsi="Calibri"/>
                <w:sz w:val="22"/>
                <w:szCs w:val="22"/>
                <w:lang w:eastAsia="hr-HR"/>
              </w:rPr>
            </w:pPr>
            <w:r w:rsidRPr="00E523B4">
              <w:rPr>
                <w:rFonts w:ascii="Calibri" w:hAnsi="Calibri"/>
                <w:sz w:val="22"/>
                <w:szCs w:val="22"/>
                <w:lang w:eastAsia="hr-HR"/>
              </w:rPr>
              <w:t>2</w:t>
            </w:r>
          </w:p>
        </w:tc>
        <w:tc>
          <w:tcPr>
            <w:tcW w:w="1780" w:type="dxa"/>
            <w:tcBorders>
              <w:top w:val="nil"/>
              <w:left w:val="nil"/>
              <w:bottom w:val="single" w:color="auto" w:sz="4" w:space="0"/>
              <w:right w:val="single" w:color="auto" w:sz="8" w:space="0"/>
            </w:tcBorders>
            <w:shd w:val="clear" w:color="auto" w:fill="auto"/>
            <w:noWrap/>
            <w:vAlign w:val="bottom"/>
            <w:hideMark/>
          </w:tcPr>
          <w:p w:rsidRPr="00E523B4" w:rsidR="00F44854" w:rsidP="0072061F" w:rsidRDefault="00F44854">
            <w:pPr>
              <w:jc w:val="center"/>
              <w:rPr>
                <w:rFonts w:ascii="Calibri" w:hAnsi="Calibri"/>
                <w:sz w:val="22"/>
                <w:szCs w:val="22"/>
                <w:lang w:eastAsia="hr-HR"/>
              </w:rPr>
            </w:pPr>
            <w:r w:rsidRPr="00E523B4">
              <w:rPr>
                <w:rFonts w:ascii="Calibri" w:hAnsi="Calibri"/>
                <w:sz w:val="22"/>
                <w:szCs w:val="22"/>
                <w:lang w:eastAsia="hr-HR"/>
              </w:rPr>
              <w:t>3</w:t>
            </w:r>
          </w:p>
        </w:tc>
      </w:tr>
      <w:tr w:rsidRPr="00E523B4" w:rsidR="00F44854" w:rsidTr="0072061F">
        <w:trPr>
          <w:trHeight w:val="300"/>
        </w:trPr>
        <w:tc>
          <w:tcPr>
            <w:tcW w:w="883" w:type="dxa"/>
            <w:tcBorders>
              <w:top w:val="nil"/>
              <w:left w:val="single" w:color="auto" w:sz="8" w:space="0"/>
              <w:bottom w:val="single" w:color="auto" w:sz="4" w:space="0"/>
              <w:right w:val="single" w:color="auto" w:sz="8" w:space="0"/>
            </w:tcBorders>
            <w:shd w:val="clear" w:color="auto" w:fill="auto"/>
            <w:noWrap/>
            <w:vAlign w:val="bottom"/>
            <w:hideMark/>
          </w:tcPr>
          <w:p w:rsidRPr="00E523B4" w:rsidR="00F44854" w:rsidP="0072061F" w:rsidRDefault="00F44854">
            <w:pPr>
              <w:rPr>
                <w:rFonts w:ascii="Calibri" w:hAnsi="Calibri"/>
                <w:b/>
                <w:bCs/>
                <w:sz w:val="22"/>
                <w:szCs w:val="22"/>
                <w:lang w:eastAsia="hr-HR"/>
              </w:rPr>
            </w:pPr>
            <w:r w:rsidRPr="00E523B4">
              <w:rPr>
                <w:rFonts w:ascii="Calibri" w:hAnsi="Calibri"/>
                <w:b/>
                <w:bCs/>
                <w:sz w:val="22"/>
                <w:szCs w:val="22"/>
                <w:lang w:eastAsia="hr-HR"/>
              </w:rPr>
              <w:t>A</w:t>
            </w:r>
          </w:p>
        </w:tc>
        <w:tc>
          <w:tcPr>
            <w:tcW w:w="6560" w:type="dxa"/>
            <w:tcBorders>
              <w:top w:val="nil"/>
              <w:left w:val="nil"/>
              <w:bottom w:val="single" w:color="auto" w:sz="4" w:space="0"/>
              <w:right w:val="single" w:color="auto" w:sz="8" w:space="0"/>
            </w:tcBorders>
            <w:shd w:val="clear" w:color="auto" w:fill="auto"/>
            <w:noWrap/>
            <w:vAlign w:val="bottom"/>
            <w:hideMark/>
          </w:tcPr>
          <w:p w:rsidRPr="00E523B4" w:rsidR="00F44854" w:rsidP="0072061F" w:rsidRDefault="00F44854">
            <w:pPr>
              <w:rPr>
                <w:rFonts w:ascii="Calibri" w:hAnsi="Calibri"/>
                <w:b/>
                <w:bCs/>
                <w:sz w:val="22"/>
                <w:szCs w:val="22"/>
                <w:lang w:eastAsia="hr-HR"/>
              </w:rPr>
            </w:pPr>
            <w:r w:rsidRPr="00E523B4">
              <w:rPr>
                <w:rFonts w:ascii="Calibri" w:hAnsi="Calibri"/>
                <w:b/>
                <w:bCs/>
                <w:sz w:val="22"/>
                <w:szCs w:val="22"/>
                <w:lang w:eastAsia="hr-HR"/>
              </w:rPr>
              <w:t>NAKNADE I PLAĆE</w:t>
            </w:r>
          </w:p>
        </w:tc>
        <w:tc>
          <w:tcPr>
            <w:tcW w:w="1780" w:type="dxa"/>
            <w:tcBorders>
              <w:top w:val="nil"/>
              <w:left w:val="nil"/>
              <w:bottom w:val="single" w:color="auto" w:sz="4" w:space="0"/>
              <w:right w:val="single" w:color="auto" w:sz="8" w:space="0"/>
            </w:tcBorders>
            <w:shd w:val="clear" w:color="auto" w:fill="auto"/>
            <w:noWrap/>
            <w:vAlign w:val="bottom"/>
            <w:hideMark/>
          </w:tcPr>
          <w:p w:rsidRPr="00E523B4" w:rsidR="00F44854" w:rsidP="0072061F" w:rsidRDefault="00F44854">
            <w:pPr>
              <w:jc w:val="right"/>
              <w:rPr>
                <w:rFonts w:ascii="Calibri" w:hAnsi="Calibri"/>
                <w:b/>
                <w:bCs/>
                <w:sz w:val="22"/>
                <w:szCs w:val="22"/>
                <w:lang w:eastAsia="hr-HR"/>
              </w:rPr>
            </w:pPr>
          </w:p>
        </w:tc>
      </w:tr>
      <w:tr w:rsidRPr="00E523B4" w:rsidR="00F44854" w:rsidTr="0072061F">
        <w:trPr>
          <w:trHeight w:val="300"/>
        </w:trPr>
        <w:tc>
          <w:tcPr>
            <w:tcW w:w="883" w:type="dxa"/>
            <w:tcBorders>
              <w:top w:val="nil"/>
              <w:left w:val="single" w:color="auto" w:sz="8" w:space="0"/>
              <w:bottom w:val="single" w:color="auto" w:sz="4" w:space="0"/>
              <w:right w:val="single" w:color="auto" w:sz="8" w:space="0"/>
            </w:tcBorders>
            <w:shd w:val="clear" w:color="auto" w:fill="auto"/>
            <w:noWrap/>
            <w:vAlign w:val="bottom"/>
            <w:hideMark/>
          </w:tcPr>
          <w:p w:rsidRPr="00E523B4" w:rsidR="00F44854" w:rsidP="0072061F" w:rsidRDefault="00F44854">
            <w:pPr>
              <w:rPr>
                <w:rFonts w:ascii="Calibri" w:hAnsi="Calibri"/>
                <w:sz w:val="22"/>
                <w:szCs w:val="22"/>
                <w:lang w:eastAsia="hr-HR"/>
              </w:rPr>
            </w:pPr>
            <w:r w:rsidRPr="00E523B4">
              <w:rPr>
                <w:rFonts w:ascii="Calibri" w:hAnsi="Calibri"/>
                <w:sz w:val="22"/>
                <w:szCs w:val="22"/>
                <w:lang w:eastAsia="hr-HR"/>
              </w:rPr>
              <w:t> </w:t>
            </w:r>
          </w:p>
        </w:tc>
        <w:tc>
          <w:tcPr>
            <w:tcW w:w="6560" w:type="dxa"/>
            <w:tcBorders>
              <w:top w:val="nil"/>
              <w:left w:val="nil"/>
              <w:bottom w:val="single" w:color="auto" w:sz="4" w:space="0"/>
              <w:right w:val="single" w:color="auto" w:sz="8" w:space="0"/>
            </w:tcBorders>
            <w:shd w:val="clear" w:color="auto" w:fill="auto"/>
            <w:noWrap/>
            <w:vAlign w:val="bottom"/>
            <w:hideMark/>
          </w:tcPr>
          <w:p w:rsidRPr="00E523B4" w:rsidR="00F44854" w:rsidP="0072061F" w:rsidRDefault="00F44854">
            <w:pPr>
              <w:rPr>
                <w:rFonts w:ascii="Calibri" w:hAnsi="Calibri"/>
                <w:sz w:val="22"/>
                <w:szCs w:val="22"/>
                <w:lang w:eastAsia="hr-HR"/>
              </w:rPr>
            </w:pPr>
            <w:r w:rsidRPr="00E523B4">
              <w:rPr>
                <w:rFonts w:ascii="Calibri" w:hAnsi="Calibri"/>
                <w:sz w:val="22"/>
                <w:szCs w:val="22"/>
                <w:lang w:eastAsia="hr-HR"/>
              </w:rPr>
              <w:t> </w:t>
            </w:r>
          </w:p>
        </w:tc>
        <w:tc>
          <w:tcPr>
            <w:tcW w:w="1780" w:type="dxa"/>
            <w:tcBorders>
              <w:top w:val="nil"/>
              <w:left w:val="nil"/>
              <w:bottom w:val="single" w:color="auto" w:sz="4" w:space="0"/>
              <w:right w:val="single" w:color="auto" w:sz="8" w:space="0"/>
            </w:tcBorders>
            <w:shd w:val="clear" w:color="auto" w:fill="auto"/>
            <w:noWrap/>
            <w:vAlign w:val="bottom"/>
            <w:hideMark/>
          </w:tcPr>
          <w:p w:rsidRPr="00E523B4" w:rsidR="00F44854" w:rsidP="0072061F" w:rsidRDefault="00F44854">
            <w:pPr>
              <w:rPr>
                <w:rFonts w:ascii="Calibri" w:hAnsi="Calibri"/>
                <w:b/>
                <w:bCs/>
                <w:sz w:val="22"/>
                <w:szCs w:val="22"/>
                <w:lang w:eastAsia="hr-HR"/>
              </w:rPr>
            </w:pPr>
            <w:r w:rsidRPr="00E523B4">
              <w:rPr>
                <w:rFonts w:ascii="Calibri" w:hAnsi="Calibri"/>
                <w:b/>
                <w:bCs/>
                <w:sz w:val="22"/>
                <w:szCs w:val="22"/>
                <w:lang w:eastAsia="hr-HR"/>
              </w:rPr>
              <w:t> </w:t>
            </w:r>
          </w:p>
        </w:tc>
      </w:tr>
      <w:tr w:rsidRPr="00E523B4" w:rsidR="00F44854" w:rsidTr="0072061F">
        <w:trPr>
          <w:trHeight w:val="300"/>
        </w:trPr>
        <w:tc>
          <w:tcPr>
            <w:tcW w:w="883" w:type="dxa"/>
            <w:tcBorders>
              <w:top w:val="nil"/>
              <w:left w:val="single" w:color="auto" w:sz="8" w:space="0"/>
              <w:bottom w:val="single" w:color="auto" w:sz="4" w:space="0"/>
              <w:right w:val="single" w:color="auto" w:sz="8" w:space="0"/>
            </w:tcBorders>
            <w:shd w:val="clear" w:color="auto" w:fill="auto"/>
            <w:noWrap/>
            <w:vAlign w:val="bottom"/>
            <w:hideMark/>
          </w:tcPr>
          <w:p w:rsidRPr="00E523B4" w:rsidR="00F44854" w:rsidP="0072061F" w:rsidRDefault="00F44854">
            <w:pPr>
              <w:jc w:val="center"/>
              <w:rPr>
                <w:rFonts w:ascii="Calibri" w:hAnsi="Calibri"/>
                <w:sz w:val="22"/>
                <w:szCs w:val="22"/>
                <w:lang w:eastAsia="hr-HR"/>
              </w:rPr>
            </w:pPr>
            <w:r w:rsidRPr="00E523B4">
              <w:rPr>
                <w:rFonts w:ascii="Calibri" w:hAnsi="Calibri"/>
                <w:sz w:val="22"/>
                <w:szCs w:val="22"/>
                <w:lang w:eastAsia="hr-HR"/>
              </w:rPr>
              <w:t>1</w:t>
            </w:r>
          </w:p>
        </w:tc>
        <w:tc>
          <w:tcPr>
            <w:tcW w:w="6560" w:type="dxa"/>
            <w:tcBorders>
              <w:top w:val="nil"/>
              <w:left w:val="nil"/>
              <w:bottom w:val="single" w:color="auto" w:sz="4" w:space="0"/>
              <w:right w:val="single" w:color="auto" w:sz="8" w:space="0"/>
            </w:tcBorders>
            <w:shd w:val="clear" w:color="auto" w:fill="auto"/>
            <w:noWrap/>
            <w:vAlign w:val="bottom"/>
            <w:hideMark/>
          </w:tcPr>
          <w:p w:rsidRPr="00E523B4" w:rsidR="00F44854" w:rsidP="0072061F" w:rsidRDefault="00F44854">
            <w:pPr>
              <w:rPr>
                <w:rFonts w:ascii="Calibri" w:hAnsi="Calibri"/>
                <w:sz w:val="22"/>
                <w:szCs w:val="22"/>
                <w:lang w:eastAsia="hr-HR"/>
              </w:rPr>
            </w:pPr>
            <w:r w:rsidRPr="00E523B4">
              <w:rPr>
                <w:rFonts w:ascii="Calibri" w:hAnsi="Calibri"/>
                <w:sz w:val="22"/>
                <w:szCs w:val="22"/>
                <w:lang w:eastAsia="hr-HR"/>
              </w:rPr>
              <w:t>Neto plaće i naknade</w:t>
            </w:r>
          </w:p>
        </w:tc>
        <w:tc>
          <w:tcPr>
            <w:tcW w:w="1780" w:type="dxa"/>
            <w:tcBorders>
              <w:top w:val="nil"/>
              <w:left w:val="nil"/>
              <w:bottom w:val="single" w:color="auto" w:sz="4" w:space="0"/>
              <w:right w:val="single" w:color="auto" w:sz="8" w:space="0"/>
            </w:tcBorders>
            <w:shd w:val="clear" w:color="auto" w:fill="auto"/>
            <w:noWrap/>
            <w:vAlign w:val="bottom"/>
            <w:hideMark/>
          </w:tcPr>
          <w:p w:rsidRPr="00E523B4" w:rsidR="00F44854" w:rsidP="0072061F" w:rsidRDefault="00F44854">
            <w:pPr>
              <w:jc w:val="right"/>
              <w:rPr>
                <w:rFonts w:ascii="Calibri" w:hAnsi="Calibri"/>
                <w:b/>
                <w:bCs/>
                <w:sz w:val="22"/>
                <w:szCs w:val="22"/>
                <w:lang w:eastAsia="hr-HR"/>
              </w:rPr>
            </w:pPr>
            <w:r>
              <w:rPr>
                <w:rFonts w:ascii="Calibri" w:hAnsi="Calibri"/>
                <w:b/>
                <w:bCs/>
                <w:sz w:val="22"/>
                <w:szCs w:val="22"/>
                <w:lang w:eastAsia="hr-HR"/>
              </w:rPr>
              <w:t>16.500,00</w:t>
            </w:r>
          </w:p>
        </w:tc>
      </w:tr>
      <w:tr w:rsidRPr="00E523B4" w:rsidR="00F44854" w:rsidTr="0072061F">
        <w:trPr>
          <w:trHeight w:val="300"/>
        </w:trPr>
        <w:tc>
          <w:tcPr>
            <w:tcW w:w="883" w:type="dxa"/>
            <w:tcBorders>
              <w:top w:val="nil"/>
              <w:left w:val="single" w:color="auto" w:sz="8" w:space="0"/>
              <w:bottom w:val="single" w:color="auto" w:sz="4" w:space="0"/>
              <w:right w:val="single" w:color="auto" w:sz="8" w:space="0"/>
            </w:tcBorders>
            <w:shd w:val="clear" w:color="auto" w:fill="auto"/>
            <w:noWrap/>
            <w:vAlign w:val="bottom"/>
            <w:hideMark/>
          </w:tcPr>
          <w:p w:rsidRPr="00E523B4" w:rsidR="00F44854" w:rsidP="0072061F" w:rsidRDefault="00F44854">
            <w:pPr>
              <w:jc w:val="center"/>
              <w:rPr>
                <w:rFonts w:ascii="Calibri" w:hAnsi="Calibri"/>
                <w:sz w:val="22"/>
                <w:szCs w:val="22"/>
                <w:lang w:eastAsia="hr-HR"/>
              </w:rPr>
            </w:pPr>
            <w:r w:rsidRPr="00E523B4">
              <w:rPr>
                <w:rFonts w:ascii="Calibri" w:hAnsi="Calibri"/>
                <w:sz w:val="22"/>
                <w:szCs w:val="22"/>
                <w:lang w:eastAsia="hr-HR"/>
              </w:rPr>
              <w:t>2</w:t>
            </w:r>
          </w:p>
        </w:tc>
        <w:tc>
          <w:tcPr>
            <w:tcW w:w="6560" w:type="dxa"/>
            <w:tcBorders>
              <w:top w:val="nil"/>
              <w:left w:val="nil"/>
              <w:bottom w:val="single" w:color="auto" w:sz="4" w:space="0"/>
              <w:right w:val="single" w:color="auto" w:sz="8" w:space="0"/>
            </w:tcBorders>
            <w:shd w:val="clear" w:color="auto" w:fill="auto"/>
            <w:noWrap/>
            <w:vAlign w:val="bottom"/>
            <w:hideMark/>
          </w:tcPr>
          <w:p w:rsidRPr="00E523B4" w:rsidR="00F44854" w:rsidP="0072061F" w:rsidRDefault="00F44854">
            <w:pPr>
              <w:rPr>
                <w:rFonts w:ascii="Calibri" w:hAnsi="Calibri"/>
                <w:sz w:val="22"/>
                <w:szCs w:val="22"/>
                <w:lang w:eastAsia="hr-HR"/>
              </w:rPr>
            </w:pPr>
            <w:r w:rsidRPr="00E523B4">
              <w:rPr>
                <w:rFonts w:ascii="Calibri" w:hAnsi="Calibri"/>
                <w:sz w:val="22"/>
                <w:szCs w:val="22"/>
                <w:lang w:eastAsia="hr-HR"/>
              </w:rPr>
              <w:t xml:space="preserve">Naknade po ug.o djelu </w:t>
            </w:r>
          </w:p>
        </w:tc>
        <w:tc>
          <w:tcPr>
            <w:tcW w:w="1780" w:type="dxa"/>
            <w:tcBorders>
              <w:top w:val="nil"/>
              <w:left w:val="nil"/>
              <w:bottom w:val="single" w:color="auto" w:sz="4" w:space="0"/>
              <w:right w:val="single" w:color="auto" w:sz="8" w:space="0"/>
            </w:tcBorders>
            <w:shd w:val="clear" w:color="auto" w:fill="auto"/>
            <w:noWrap/>
            <w:vAlign w:val="bottom"/>
            <w:hideMark/>
          </w:tcPr>
          <w:p w:rsidRPr="00E523B4" w:rsidR="00F44854" w:rsidP="0072061F" w:rsidRDefault="00F44854">
            <w:pPr>
              <w:jc w:val="right"/>
              <w:rPr>
                <w:rFonts w:ascii="Calibri" w:hAnsi="Calibri"/>
                <w:b/>
                <w:bCs/>
                <w:sz w:val="22"/>
                <w:szCs w:val="22"/>
                <w:lang w:eastAsia="hr-HR"/>
              </w:rPr>
            </w:pPr>
            <w:r>
              <w:rPr>
                <w:rFonts w:ascii="Calibri" w:hAnsi="Calibri"/>
                <w:b/>
                <w:bCs/>
                <w:sz w:val="22"/>
                <w:szCs w:val="22"/>
                <w:lang w:eastAsia="hr-HR"/>
              </w:rPr>
              <w:t>12</w:t>
            </w:r>
            <w:r w:rsidRPr="00E523B4">
              <w:rPr>
                <w:rFonts w:ascii="Calibri" w:hAnsi="Calibri"/>
                <w:b/>
                <w:bCs/>
                <w:sz w:val="22"/>
                <w:szCs w:val="22"/>
                <w:lang w:eastAsia="hr-HR"/>
              </w:rPr>
              <w:t>.000,00</w:t>
            </w:r>
          </w:p>
        </w:tc>
      </w:tr>
      <w:tr w:rsidRPr="00E523B4" w:rsidR="00F44854" w:rsidTr="0072061F">
        <w:trPr>
          <w:trHeight w:val="300"/>
        </w:trPr>
        <w:tc>
          <w:tcPr>
            <w:tcW w:w="883" w:type="dxa"/>
            <w:tcBorders>
              <w:top w:val="nil"/>
              <w:left w:val="single" w:color="auto" w:sz="8" w:space="0"/>
              <w:bottom w:val="single" w:color="auto" w:sz="4" w:space="0"/>
              <w:right w:val="single" w:color="auto" w:sz="8" w:space="0"/>
            </w:tcBorders>
            <w:shd w:val="clear" w:color="auto" w:fill="auto"/>
            <w:noWrap/>
            <w:vAlign w:val="bottom"/>
            <w:hideMark/>
          </w:tcPr>
          <w:p w:rsidRPr="00E523B4" w:rsidR="00F44854" w:rsidP="0072061F" w:rsidRDefault="00F44854">
            <w:pPr>
              <w:jc w:val="center"/>
              <w:rPr>
                <w:rFonts w:ascii="Calibri" w:hAnsi="Calibri"/>
                <w:sz w:val="22"/>
                <w:szCs w:val="22"/>
                <w:lang w:eastAsia="hr-HR"/>
              </w:rPr>
            </w:pPr>
            <w:r w:rsidRPr="00E523B4">
              <w:rPr>
                <w:rFonts w:ascii="Calibri" w:hAnsi="Calibri"/>
                <w:sz w:val="22"/>
                <w:szCs w:val="22"/>
                <w:lang w:eastAsia="hr-HR"/>
              </w:rPr>
              <w:t>3</w:t>
            </w:r>
          </w:p>
        </w:tc>
        <w:tc>
          <w:tcPr>
            <w:tcW w:w="6560" w:type="dxa"/>
            <w:tcBorders>
              <w:top w:val="nil"/>
              <w:left w:val="nil"/>
              <w:bottom w:val="single" w:color="auto" w:sz="4" w:space="0"/>
              <w:right w:val="single" w:color="auto" w:sz="8" w:space="0"/>
            </w:tcBorders>
            <w:shd w:val="clear" w:color="auto" w:fill="auto"/>
            <w:noWrap/>
            <w:vAlign w:val="bottom"/>
            <w:hideMark/>
          </w:tcPr>
          <w:p w:rsidRPr="00E523B4" w:rsidR="00F44854" w:rsidP="0072061F" w:rsidRDefault="00F44854">
            <w:pPr>
              <w:rPr>
                <w:rFonts w:ascii="Calibri" w:hAnsi="Calibri"/>
                <w:sz w:val="22"/>
                <w:szCs w:val="22"/>
                <w:lang w:eastAsia="hr-HR"/>
              </w:rPr>
            </w:pPr>
            <w:r w:rsidRPr="00E523B4">
              <w:rPr>
                <w:rFonts w:ascii="Calibri" w:hAnsi="Calibri"/>
                <w:sz w:val="22"/>
                <w:szCs w:val="22"/>
                <w:lang w:eastAsia="hr-HR"/>
              </w:rPr>
              <w:t>Doprinosi, porezi i prirez</w:t>
            </w:r>
          </w:p>
        </w:tc>
        <w:tc>
          <w:tcPr>
            <w:tcW w:w="1780" w:type="dxa"/>
            <w:tcBorders>
              <w:top w:val="nil"/>
              <w:left w:val="nil"/>
              <w:bottom w:val="single" w:color="auto" w:sz="4" w:space="0"/>
              <w:right w:val="single" w:color="auto" w:sz="8" w:space="0"/>
            </w:tcBorders>
            <w:shd w:val="clear" w:color="auto" w:fill="auto"/>
            <w:noWrap/>
            <w:vAlign w:val="bottom"/>
            <w:hideMark/>
          </w:tcPr>
          <w:p w:rsidRPr="00E523B4" w:rsidR="00F44854" w:rsidP="0072061F" w:rsidRDefault="00F44854">
            <w:pPr>
              <w:jc w:val="right"/>
              <w:rPr>
                <w:rFonts w:ascii="Calibri" w:hAnsi="Calibri"/>
                <w:b/>
                <w:bCs/>
                <w:sz w:val="22"/>
                <w:szCs w:val="22"/>
                <w:lang w:eastAsia="hr-HR"/>
              </w:rPr>
            </w:pPr>
            <w:r>
              <w:rPr>
                <w:rFonts w:ascii="Calibri" w:hAnsi="Calibri"/>
                <w:b/>
                <w:bCs/>
                <w:sz w:val="22"/>
                <w:szCs w:val="22"/>
                <w:lang w:eastAsia="hr-HR"/>
              </w:rPr>
              <w:t>18.458,76</w:t>
            </w:r>
          </w:p>
        </w:tc>
      </w:tr>
      <w:tr w:rsidRPr="00E523B4" w:rsidR="00F44854" w:rsidTr="0072061F">
        <w:trPr>
          <w:trHeight w:val="300"/>
        </w:trPr>
        <w:tc>
          <w:tcPr>
            <w:tcW w:w="883" w:type="dxa"/>
            <w:tcBorders>
              <w:top w:val="nil"/>
              <w:left w:val="single" w:color="auto" w:sz="8" w:space="0"/>
              <w:bottom w:val="single" w:color="auto" w:sz="4" w:space="0"/>
              <w:right w:val="single" w:color="auto" w:sz="8" w:space="0"/>
            </w:tcBorders>
            <w:shd w:val="clear" w:color="auto" w:fill="auto"/>
            <w:noWrap/>
            <w:vAlign w:val="bottom"/>
            <w:hideMark/>
          </w:tcPr>
          <w:p w:rsidRPr="00E523B4" w:rsidR="00F44854" w:rsidP="0072061F" w:rsidRDefault="00F44854">
            <w:pPr>
              <w:jc w:val="center"/>
              <w:rPr>
                <w:rFonts w:ascii="Calibri" w:hAnsi="Calibri"/>
                <w:sz w:val="22"/>
                <w:szCs w:val="22"/>
                <w:lang w:eastAsia="hr-HR"/>
              </w:rPr>
            </w:pPr>
            <w:r w:rsidRPr="00E523B4">
              <w:rPr>
                <w:rFonts w:ascii="Calibri" w:hAnsi="Calibri"/>
                <w:sz w:val="22"/>
                <w:szCs w:val="22"/>
                <w:lang w:eastAsia="hr-HR"/>
              </w:rPr>
              <w:t>4</w:t>
            </w:r>
          </w:p>
        </w:tc>
        <w:tc>
          <w:tcPr>
            <w:tcW w:w="6560" w:type="dxa"/>
            <w:tcBorders>
              <w:top w:val="nil"/>
              <w:left w:val="nil"/>
              <w:bottom w:val="single" w:color="auto" w:sz="4" w:space="0"/>
              <w:right w:val="single" w:color="auto" w:sz="8" w:space="0"/>
            </w:tcBorders>
            <w:shd w:val="clear" w:color="auto" w:fill="auto"/>
            <w:noWrap/>
            <w:vAlign w:val="bottom"/>
            <w:hideMark/>
          </w:tcPr>
          <w:p w:rsidRPr="00E523B4" w:rsidR="00F44854" w:rsidP="0072061F" w:rsidRDefault="00F44854">
            <w:pPr>
              <w:rPr>
                <w:rFonts w:ascii="Calibri" w:hAnsi="Calibri"/>
                <w:sz w:val="22"/>
                <w:szCs w:val="22"/>
                <w:lang w:eastAsia="hr-HR"/>
              </w:rPr>
            </w:pPr>
            <w:r w:rsidRPr="00E523B4">
              <w:rPr>
                <w:rFonts w:ascii="Calibri" w:hAnsi="Calibri"/>
                <w:sz w:val="22"/>
                <w:szCs w:val="22"/>
                <w:lang w:eastAsia="hr-HR"/>
              </w:rPr>
              <w:t xml:space="preserve">Neoporezive naknade </w:t>
            </w:r>
          </w:p>
        </w:tc>
        <w:tc>
          <w:tcPr>
            <w:tcW w:w="1780" w:type="dxa"/>
            <w:tcBorders>
              <w:top w:val="nil"/>
              <w:left w:val="nil"/>
              <w:bottom w:val="single" w:color="auto" w:sz="4" w:space="0"/>
              <w:right w:val="single" w:color="auto" w:sz="8" w:space="0"/>
            </w:tcBorders>
            <w:shd w:val="clear" w:color="auto" w:fill="auto"/>
            <w:noWrap/>
            <w:vAlign w:val="bottom"/>
            <w:hideMark/>
          </w:tcPr>
          <w:p w:rsidRPr="00E523B4" w:rsidR="00F44854" w:rsidP="0072061F" w:rsidRDefault="00F44854">
            <w:pPr>
              <w:jc w:val="right"/>
              <w:rPr>
                <w:rFonts w:ascii="Calibri" w:hAnsi="Calibri"/>
                <w:b/>
                <w:bCs/>
                <w:sz w:val="22"/>
                <w:szCs w:val="22"/>
                <w:lang w:eastAsia="hr-HR"/>
              </w:rPr>
            </w:pPr>
            <w:r>
              <w:rPr>
                <w:rFonts w:ascii="Calibri" w:hAnsi="Calibri"/>
                <w:b/>
                <w:bCs/>
                <w:sz w:val="22"/>
                <w:szCs w:val="22"/>
                <w:lang w:eastAsia="hr-HR"/>
              </w:rPr>
              <w:t>1.228</w:t>
            </w:r>
            <w:r w:rsidRPr="00E523B4">
              <w:rPr>
                <w:rFonts w:ascii="Calibri" w:hAnsi="Calibri"/>
                <w:b/>
                <w:bCs/>
                <w:sz w:val="22"/>
                <w:szCs w:val="22"/>
                <w:lang w:eastAsia="hr-HR"/>
              </w:rPr>
              <w:t>,00</w:t>
            </w:r>
          </w:p>
        </w:tc>
      </w:tr>
      <w:tr w:rsidRPr="00E523B4" w:rsidR="00F44854" w:rsidTr="0072061F">
        <w:trPr>
          <w:trHeight w:val="300"/>
        </w:trPr>
        <w:tc>
          <w:tcPr>
            <w:tcW w:w="883" w:type="dxa"/>
            <w:tcBorders>
              <w:top w:val="nil"/>
              <w:left w:val="single" w:color="auto" w:sz="8" w:space="0"/>
              <w:bottom w:val="single" w:color="auto" w:sz="4" w:space="0"/>
              <w:right w:val="single" w:color="auto" w:sz="8" w:space="0"/>
            </w:tcBorders>
            <w:shd w:val="clear" w:color="auto" w:fill="auto"/>
            <w:noWrap/>
            <w:vAlign w:val="bottom"/>
            <w:hideMark/>
          </w:tcPr>
          <w:p w:rsidRPr="00E523B4" w:rsidR="00F44854" w:rsidP="0072061F" w:rsidRDefault="00F44854">
            <w:pPr>
              <w:rPr>
                <w:rFonts w:ascii="Calibri" w:hAnsi="Calibri"/>
                <w:sz w:val="22"/>
                <w:szCs w:val="22"/>
                <w:lang w:eastAsia="hr-HR"/>
              </w:rPr>
            </w:pPr>
          </w:p>
        </w:tc>
        <w:tc>
          <w:tcPr>
            <w:tcW w:w="6560" w:type="dxa"/>
            <w:tcBorders>
              <w:top w:val="nil"/>
              <w:left w:val="nil"/>
              <w:bottom w:val="single" w:color="auto" w:sz="4" w:space="0"/>
              <w:right w:val="single" w:color="auto" w:sz="8" w:space="0"/>
            </w:tcBorders>
            <w:shd w:val="clear" w:color="auto" w:fill="auto"/>
            <w:noWrap/>
            <w:vAlign w:val="bottom"/>
            <w:hideMark/>
          </w:tcPr>
          <w:p w:rsidRPr="00E523B4" w:rsidR="00F44854" w:rsidP="0072061F" w:rsidRDefault="00F44854">
            <w:pPr>
              <w:rPr>
                <w:rFonts w:ascii="Calibri" w:hAnsi="Calibri"/>
                <w:sz w:val="22"/>
                <w:szCs w:val="22"/>
                <w:lang w:eastAsia="hr-HR"/>
              </w:rPr>
            </w:pPr>
            <w:r w:rsidRPr="00E523B4">
              <w:rPr>
                <w:rFonts w:ascii="Calibri" w:hAnsi="Calibri"/>
                <w:sz w:val="22"/>
                <w:szCs w:val="22"/>
                <w:lang w:eastAsia="hr-HR"/>
              </w:rPr>
              <w:t> </w:t>
            </w:r>
          </w:p>
        </w:tc>
        <w:tc>
          <w:tcPr>
            <w:tcW w:w="1780" w:type="dxa"/>
            <w:tcBorders>
              <w:top w:val="nil"/>
              <w:left w:val="nil"/>
              <w:bottom w:val="single" w:color="auto" w:sz="4" w:space="0"/>
              <w:right w:val="single" w:color="auto" w:sz="8" w:space="0"/>
            </w:tcBorders>
            <w:shd w:val="clear" w:color="auto" w:fill="auto"/>
            <w:noWrap/>
            <w:vAlign w:val="bottom"/>
            <w:hideMark/>
          </w:tcPr>
          <w:p w:rsidRPr="00E523B4" w:rsidR="00F44854" w:rsidP="0072061F" w:rsidRDefault="00F44854">
            <w:pPr>
              <w:rPr>
                <w:rFonts w:ascii="Calibri" w:hAnsi="Calibri"/>
                <w:b/>
                <w:bCs/>
                <w:sz w:val="22"/>
                <w:szCs w:val="22"/>
                <w:lang w:eastAsia="hr-HR"/>
              </w:rPr>
            </w:pPr>
            <w:r w:rsidRPr="00E523B4">
              <w:rPr>
                <w:rFonts w:ascii="Calibri" w:hAnsi="Calibri"/>
                <w:b/>
                <w:bCs/>
                <w:sz w:val="22"/>
                <w:szCs w:val="22"/>
                <w:lang w:eastAsia="hr-HR"/>
              </w:rPr>
              <w:t> </w:t>
            </w:r>
          </w:p>
        </w:tc>
      </w:tr>
      <w:tr w:rsidRPr="009D4DE7" w:rsidR="00F44854" w:rsidTr="0072061F">
        <w:trPr>
          <w:trHeight w:val="300"/>
        </w:trPr>
        <w:tc>
          <w:tcPr>
            <w:tcW w:w="883" w:type="dxa"/>
            <w:tcBorders>
              <w:top w:val="nil"/>
              <w:left w:val="single" w:color="auto" w:sz="8" w:space="0"/>
              <w:bottom w:val="single" w:color="auto" w:sz="4" w:space="0"/>
              <w:right w:val="single" w:color="auto" w:sz="8" w:space="0"/>
            </w:tcBorders>
            <w:shd w:val="clear" w:color="auto" w:fill="auto"/>
            <w:noWrap/>
            <w:vAlign w:val="bottom"/>
            <w:hideMark/>
          </w:tcPr>
          <w:p w:rsidRPr="00E523B4" w:rsidR="00F44854" w:rsidP="0072061F" w:rsidRDefault="00F44854">
            <w:pPr>
              <w:rPr>
                <w:rFonts w:ascii="Calibri" w:hAnsi="Calibri"/>
                <w:b/>
                <w:bCs/>
                <w:sz w:val="22"/>
                <w:szCs w:val="22"/>
                <w:lang w:eastAsia="hr-HR"/>
              </w:rPr>
            </w:pPr>
            <w:r w:rsidRPr="00E523B4">
              <w:rPr>
                <w:rFonts w:ascii="Calibri" w:hAnsi="Calibri"/>
                <w:b/>
                <w:bCs/>
                <w:sz w:val="22"/>
                <w:szCs w:val="22"/>
                <w:lang w:eastAsia="hr-HR"/>
              </w:rPr>
              <w:t>B</w:t>
            </w:r>
          </w:p>
        </w:tc>
        <w:tc>
          <w:tcPr>
            <w:tcW w:w="6560" w:type="dxa"/>
            <w:tcBorders>
              <w:top w:val="nil"/>
              <w:left w:val="nil"/>
              <w:bottom w:val="single" w:color="auto" w:sz="4" w:space="0"/>
              <w:right w:val="single" w:color="auto" w:sz="8" w:space="0"/>
            </w:tcBorders>
            <w:shd w:val="clear" w:color="auto" w:fill="auto"/>
            <w:noWrap/>
            <w:vAlign w:val="bottom"/>
            <w:hideMark/>
          </w:tcPr>
          <w:p w:rsidRPr="00E523B4" w:rsidR="00F44854" w:rsidP="0072061F" w:rsidRDefault="00F44854">
            <w:pPr>
              <w:rPr>
                <w:rFonts w:ascii="Calibri" w:hAnsi="Calibri"/>
                <w:b/>
                <w:bCs/>
                <w:sz w:val="22"/>
                <w:szCs w:val="22"/>
                <w:lang w:eastAsia="hr-HR"/>
              </w:rPr>
            </w:pPr>
            <w:r w:rsidRPr="00E523B4">
              <w:rPr>
                <w:rFonts w:ascii="Calibri" w:hAnsi="Calibri"/>
                <w:b/>
                <w:bCs/>
                <w:sz w:val="22"/>
                <w:szCs w:val="22"/>
                <w:lang w:eastAsia="hr-HR"/>
              </w:rPr>
              <w:t>TROŠKOVI</w:t>
            </w:r>
          </w:p>
        </w:tc>
        <w:tc>
          <w:tcPr>
            <w:tcW w:w="1780" w:type="dxa"/>
            <w:tcBorders>
              <w:top w:val="nil"/>
              <w:left w:val="nil"/>
              <w:bottom w:val="single" w:color="auto" w:sz="4" w:space="0"/>
              <w:right w:val="single" w:color="auto" w:sz="8" w:space="0"/>
            </w:tcBorders>
            <w:shd w:val="clear" w:color="auto" w:fill="auto"/>
            <w:noWrap/>
            <w:vAlign w:val="bottom"/>
            <w:hideMark/>
          </w:tcPr>
          <w:p w:rsidRPr="00E523B4" w:rsidR="00F44854" w:rsidP="0072061F" w:rsidRDefault="00F44854">
            <w:pPr>
              <w:jc w:val="right"/>
              <w:rPr>
                <w:rFonts w:ascii="Calibri" w:hAnsi="Calibri"/>
                <w:b/>
                <w:bCs/>
                <w:sz w:val="22"/>
                <w:szCs w:val="22"/>
                <w:lang w:eastAsia="hr-HR"/>
              </w:rPr>
            </w:pPr>
          </w:p>
        </w:tc>
      </w:tr>
      <w:tr w:rsidRPr="009D4DE7" w:rsidR="00F44854" w:rsidTr="0072061F">
        <w:trPr>
          <w:trHeight w:val="300"/>
        </w:trPr>
        <w:tc>
          <w:tcPr>
            <w:tcW w:w="883" w:type="dxa"/>
            <w:tcBorders>
              <w:top w:val="nil"/>
              <w:left w:val="single" w:color="auto" w:sz="8" w:space="0"/>
              <w:bottom w:val="single" w:color="auto" w:sz="4" w:space="0"/>
              <w:right w:val="single" w:color="auto" w:sz="8" w:space="0"/>
            </w:tcBorders>
            <w:shd w:val="clear" w:color="auto" w:fill="auto"/>
            <w:noWrap/>
            <w:vAlign w:val="bottom"/>
            <w:hideMark/>
          </w:tcPr>
          <w:p w:rsidRPr="009D4DE7" w:rsidR="00F44854" w:rsidP="0072061F" w:rsidRDefault="00F44854">
            <w:pPr>
              <w:rPr>
                <w:rFonts w:ascii="Calibri" w:hAnsi="Calibri"/>
                <w:color w:val="FF0000"/>
                <w:sz w:val="22"/>
                <w:szCs w:val="22"/>
                <w:lang w:eastAsia="hr-HR"/>
              </w:rPr>
            </w:pPr>
            <w:r w:rsidRPr="009D4DE7">
              <w:rPr>
                <w:rFonts w:ascii="Calibri" w:hAnsi="Calibri"/>
                <w:color w:val="FF0000"/>
                <w:sz w:val="22"/>
                <w:szCs w:val="22"/>
                <w:lang w:eastAsia="hr-HR"/>
              </w:rPr>
              <w:t> </w:t>
            </w:r>
          </w:p>
        </w:tc>
        <w:tc>
          <w:tcPr>
            <w:tcW w:w="6560" w:type="dxa"/>
            <w:tcBorders>
              <w:top w:val="nil"/>
              <w:left w:val="nil"/>
              <w:bottom w:val="single" w:color="auto" w:sz="4" w:space="0"/>
              <w:right w:val="single" w:color="auto" w:sz="8" w:space="0"/>
            </w:tcBorders>
            <w:shd w:val="clear" w:color="auto" w:fill="auto"/>
            <w:noWrap/>
            <w:vAlign w:val="bottom"/>
            <w:hideMark/>
          </w:tcPr>
          <w:p w:rsidRPr="009D4DE7" w:rsidR="00F44854" w:rsidP="0072061F" w:rsidRDefault="00F44854">
            <w:pPr>
              <w:rPr>
                <w:rFonts w:ascii="Calibri" w:hAnsi="Calibri"/>
                <w:color w:val="FF0000"/>
                <w:sz w:val="22"/>
                <w:szCs w:val="22"/>
                <w:lang w:eastAsia="hr-HR"/>
              </w:rPr>
            </w:pPr>
            <w:r w:rsidRPr="009D4DE7">
              <w:rPr>
                <w:rFonts w:ascii="Calibri" w:hAnsi="Calibri"/>
                <w:color w:val="FF0000"/>
                <w:sz w:val="22"/>
                <w:szCs w:val="22"/>
                <w:lang w:eastAsia="hr-HR"/>
              </w:rPr>
              <w:t> </w:t>
            </w:r>
          </w:p>
        </w:tc>
        <w:tc>
          <w:tcPr>
            <w:tcW w:w="1780" w:type="dxa"/>
            <w:tcBorders>
              <w:top w:val="nil"/>
              <w:left w:val="nil"/>
              <w:bottom w:val="single" w:color="auto" w:sz="4" w:space="0"/>
              <w:right w:val="single" w:color="auto" w:sz="8" w:space="0"/>
            </w:tcBorders>
            <w:shd w:val="clear" w:color="auto" w:fill="auto"/>
            <w:noWrap/>
            <w:vAlign w:val="bottom"/>
            <w:hideMark/>
          </w:tcPr>
          <w:p w:rsidRPr="009D4DE7" w:rsidR="00F44854" w:rsidP="0072061F" w:rsidRDefault="00F44854">
            <w:pPr>
              <w:rPr>
                <w:rFonts w:ascii="Calibri" w:hAnsi="Calibri"/>
                <w:b/>
                <w:bCs/>
                <w:color w:val="FF0000"/>
                <w:sz w:val="22"/>
                <w:szCs w:val="22"/>
                <w:lang w:eastAsia="hr-HR"/>
              </w:rPr>
            </w:pPr>
            <w:r w:rsidRPr="009D4DE7">
              <w:rPr>
                <w:rFonts w:ascii="Calibri" w:hAnsi="Calibri"/>
                <w:b/>
                <w:bCs/>
                <w:color w:val="FF0000"/>
                <w:sz w:val="22"/>
                <w:szCs w:val="22"/>
                <w:lang w:eastAsia="hr-HR"/>
              </w:rPr>
              <w:t> </w:t>
            </w:r>
          </w:p>
        </w:tc>
      </w:tr>
      <w:tr w:rsidRPr="009D4DE7" w:rsidR="00F44854" w:rsidTr="0072061F">
        <w:trPr>
          <w:trHeight w:val="300"/>
        </w:trPr>
        <w:tc>
          <w:tcPr>
            <w:tcW w:w="883" w:type="dxa"/>
            <w:tcBorders>
              <w:top w:val="nil"/>
              <w:left w:val="single" w:color="auto" w:sz="8" w:space="0"/>
              <w:bottom w:val="single" w:color="auto" w:sz="4" w:space="0"/>
              <w:right w:val="single" w:color="auto" w:sz="8" w:space="0"/>
            </w:tcBorders>
            <w:shd w:val="clear" w:color="auto" w:fill="auto"/>
            <w:noWrap/>
            <w:vAlign w:val="bottom"/>
            <w:hideMark/>
          </w:tcPr>
          <w:p w:rsidRPr="00E523B4" w:rsidR="00F44854" w:rsidP="0072061F" w:rsidRDefault="00F44854">
            <w:pPr>
              <w:jc w:val="center"/>
              <w:rPr>
                <w:rFonts w:ascii="Calibri" w:hAnsi="Calibri"/>
                <w:sz w:val="22"/>
                <w:szCs w:val="22"/>
                <w:lang w:eastAsia="hr-HR"/>
              </w:rPr>
            </w:pPr>
            <w:r w:rsidRPr="00E523B4">
              <w:rPr>
                <w:rFonts w:ascii="Calibri" w:hAnsi="Calibri"/>
                <w:sz w:val="22"/>
                <w:szCs w:val="22"/>
                <w:lang w:eastAsia="hr-HR"/>
              </w:rPr>
              <w:t>1</w:t>
            </w:r>
          </w:p>
        </w:tc>
        <w:tc>
          <w:tcPr>
            <w:tcW w:w="6560" w:type="dxa"/>
            <w:tcBorders>
              <w:top w:val="nil"/>
              <w:left w:val="nil"/>
              <w:bottom w:val="single" w:color="auto" w:sz="4" w:space="0"/>
              <w:right w:val="single" w:color="auto" w:sz="8" w:space="0"/>
            </w:tcBorders>
            <w:shd w:val="clear" w:color="auto" w:fill="auto"/>
            <w:noWrap/>
            <w:vAlign w:val="bottom"/>
            <w:hideMark/>
          </w:tcPr>
          <w:p w:rsidRPr="00E523B4" w:rsidR="00F44854" w:rsidP="0072061F" w:rsidRDefault="00F44854">
            <w:pPr>
              <w:rPr>
                <w:rFonts w:ascii="Calibri" w:hAnsi="Calibri"/>
                <w:sz w:val="22"/>
                <w:szCs w:val="22"/>
                <w:lang w:eastAsia="hr-HR"/>
              </w:rPr>
            </w:pPr>
            <w:r w:rsidRPr="00E523B4">
              <w:rPr>
                <w:rFonts w:ascii="Calibri" w:hAnsi="Calibri"/>
                <w:sz w:val="22"/>
                <w:szCs w:val="22"/>
                <w:lang w:eastAsia="hr-HR"/>
              </w:rPr>
              <w:t>Održavanje informatičkog  programa</w:t>
            </w:r>
            <w:r>
              <w:rPr>
                <w:rFonts w:ascii="Calibri" w:hAnsi="Calibri"/>
                <w:sz w:val="22"/>
                <w:szCs w:val="22"/>
                <w:lang w:eastAsia="hr-HR"/>
              </w:rPr>
              <w:t xml:space="preserve">  i informatičke usluge</w:t>
            </w:r>
          </w:p>
        </w:tc>
        <w:tc>
          <w:tcPr>
            <w:tcW w:w="1780" w:type="dxa"/>
            <w:tcBorders>
              <w:top w:val="nil"/>
              <w:left w:val="nil"/>
              <w:bottom w:val="single" w:color="auto" w:sz="4" w:space="0"/>
              <w:right w:val="single" w:color="auto" w:sz="8" w:space="0"/>
            </w:tcBorders>
            <w:shd w:val="clear" w:color="auto" w:fill="auto"/>
            <w:noWrap/>
            <w:vAlign w:val="bottom"/>
            <w:hideMark/>
          </w:tcPr>
          <w:p w:rsidRPr="00E523B4" w:rsidR="00F44854" w:rsidP="0072061F" w:rsidRDefault="00F44854">
            <w:pPr>
              <w:jc w:val="right"/>
              <w:rPr>
                <w:rFonts w:ascii="Calibri" w:hAnsi="Calibri"/>
                <w:b/>
                <w:bCs/>
                <w:sz w:val="22"/>
                <w:szCs w:val="22"/>
                <w:lang w:eastAsia="hr-HR"/>
              </w:rPr>
            </w:pPr>
            <w:r>
              <w:rPr>
                <w:rFonts w:ascii="Calibri" w:hAnsi="Calibri"/>
                <w:b/>
                <w:bCs/>
                <w:sz w:val="22"/>
                <w:szCs w:val="22"/>
                <w:lang w:eastAsia="hr-HR"/>
              </w:rPr>
              <w:t>7.775,00</w:t>
            </w:r>
          </w:p>
        </w:tc>
      </w:tr>
      <w:tr w:rsidRPr="009D4DE7" w:rsidR="00F44854" w:rsidTr="0072061F">
        <w:trPr>
          <w:trHeight w:val="300"/>
        </w:trPr>
        <w:tc>
          <w:tcPr>
            <w:tcW w:w="883" w:type="dxa"/>
            <w:tcBorders>
              <w:top w:val="nil"/>
              <w:left w:val="single" w:color="auto" w:sz="8" w:space="0"/>
              <w:bottom w:val="single" w:color="auto" w:sz="4" w:space="0"/>
              <w:right w:val="single" w:color="auto" w:sz="8" w:space="0"/>
            </w:tcBorders>
            <w:shd w:val="clear" w:color="auto" w:fill="auto"/>
            <w:noWrap/>
            <w:vAlign w:val="bottom"/>
            <w:hideMark/>
          </w:tcPr>
          <w:p w:rsidRPr="00E523B4" w:rsidR="00F44854" w:rsidP="0072061F" w:rsidRDefault="00F44854">
            <w:pPr>
              <w:jc w:val="center"/>
              <w:rPr>
                <w:rFonts w:ascii="Calibri" w:hAnsi="Calibri"/>
                <w:sz w:val="22"/>
                <w:szCs w:val="22"/>
                <w:lang w:eastAsia="hr-HR"/>
              </w:rPr>
            </w:pPr>
            <w:r>
              <w:rPr>
                <w:rFonts w:ascii="Calibri" w:hAnsi="Calibri"/>
                <w:sz w:val="22"/>
                <w:szCs w:val="22"/>
                <w:lang w:eastAsia="hr-HR"/>
              </w:rPr>
              <w:t>2</w:t>
            </w:r>
          </w:p>
        </w:tc>
        <w:tc>
          <w:tcPr>
            <w:tcW w:w="6560" w:type="dxa"/>
            <w:tcBorders>
              <w:top w:val="nil"/>
              <w:left w:val="nil"/>
              <w:bottom w:val="single" w:color="auto" w:sz="4" w:space="0"/>
              <w:right w:val="single" w:color="auto" w:sz="8" w:space="0"/>
            </w:tcBorders>
            <w:shd w:val="clear" w:color="auto" w:fill="auto"/>
            <w:noWrap/>
            <w:vAlign w:val="bottom"/>
            <w:hideMark/>
          </w:tcPr>
          <w:p w:rsidRPr="00E523B4" w:rsidR="00F44854" w:rsidP="0072061F" w:rsidRDefault="00F44854">
            <w:pPr>
              <w:rPr>
                <w:rFonts w:ascii="Calibri" w:hAnsi="Calibri"/>
                <w:sz w:val="22"/>
                <w:szCs w:val="22"/>
                <w:lang w:eastAsia="hr-HR"/>
              </w:rPr>
            </w:pPr>
            <w:r w:rsidRPr="00E523B4">
              <w:rPr>
                <w:rFonts w:ascii="Calibri" w:hAnsi="Calibri"/>
                <w:sz w:val="22"/>
                <w:szCs w:val="22"/>
                <w:lang w:eastAsia="hr-HR"/>
              </w:rPr>
              <w:t>Zakupnine</w:t>
            </w:r>
          </w:p>
        </w:tc>
        <w:tc>
          <w:tcPr>
            <w:tcW w:w="1780" w:type="dxa"/>
            <w:tcBorders>
              <w:top w:val="nil"/>
              <w:left w:val="nil"/>
              <w:bottom w:val="single" w:color="auto" w:sz="4" w:space="0"/>
              <w:right w:val="single" w:color="auto" w:sz="8" w:space="0"/>
            </w:tcBorders>
            <w:shd w:val="clear" w:color="auto" w:fill="auto"/>
            <w:noWrap/>
            <w:vAlign w:val="bottom"/>
            <w:hideMark/>
          </w:tcPr>
          <w:p w:rsidRPr="00E523B4" w:rsidR="00F44854" w:rsidP="0072061F" w:rsidRDefault="00F44854">
            <w:pPr>
              <w:jc w:val="right"/>
              <w:rPr>
                <w:rFonts w:ascii="Calibri" w:hAnsi="Calibri"/>
                <w:b/>
                <w:bCs/>
                <w:sz w:val="22"/>
                <w:szCs w:val="22"/>
                <w:lang w:eastAsia="hr-HR"/>
              </w:rPr>
            </w:pPr>
            <w:r>
              <w:rPr>
                <w:rFonts w:ascii="Calibri" w:hAnsi="Calibri"/>
                <w:b/>
                <w:bCs/>
                <w:sz w:val="22"/>
                <w:szCs w:val="22"/>
                <w:lang w:eastAsia="hr-HR"/>
              </w:rPr>
              <w:t>28.994,62</w:t>
            </w:r>
          </w:p>
        </w:tc>
      </w:tr>
      <w:tr w:rsidRPr="009D4DE7" w:rsidR="00F44854" w:rsidTr="0072061F">
        <w:trPr>
          <w:trHeight w:val="300"/>
        </w:trPr>
        <w:tc>
          <w:tcPr>
            <w:tcW w:w="883" w:type="dxa"/>
            <w:tcBorders>
              <w:top w:val="nil"/>
              <w:left w:val="single" w:color="auto" w:sz="8" w:space="0"/>
              <w:bottom w:val="single" w:color="auto" w:sz="4" w:space="0"/>
              <w:right w:val="single" w:color="auto" w:sz="8" w:space="0"/>
            </w:tcBorders>
            <w:shd w:val="clear" w:color="auto" w:fill="auto"/>
            <w:noWrap/>
            <w:vAlign w:val="bottom"/>
            <w:hideMark/>
          </w:tcPr>
          <w:p w:rsidRPr="00E523B4" w:rsidR="00F44854" w:rsidP="0072061F" w:rsidRDefault="00F44854">
            <w:pPr>
              <w:jc w:val="center"/>
              <w:rPr>
                <w:rFonts w:ascii="Calibri" w:hAnsi="Calibri"/>
                <w:sz w:val="22"/>
                <w:szCs w:val="22"/>
                <w:lang w:eastAsia="hr-HR"/>
              </w:rPr>
            </w:pPr>
            <w:r>
              <w:rPr>
                <w:rFonts w:ascii="Calibri" w:hAnsi="Calibri"/>
                <w:sz w:val="22"/>
                <w:szCs w:val="22"/>
                <w:lang w:eastAsia="hr-HR"/>
              </w:rPr>
              <w:t>3</w:t>
            </w:r>
          </w:p>
        </w:tc>
        <w:tc>
          <w:tcPr>
            <w:tcW w:w="6560" w:type="dxa"/>
            <w:tcBorders>
              <w:top w:val="nil"/>
              <w:left w:val="nil"/>
              <w:bottom w:val="single" w:color="auto" w:sz="4" w:space="0"/>
              <w:right w:val="single" w:color="auto" w:sz="8" w:space="0"/>
            </w:tcBorders>
            <w:shd w:val="clear" w:color="auto" w:fill="auto"/>
            <w:noWrap/>
            <w:vAlign w:val="bottom"/>
            <w:hideMark/>
          </w:tcPr>
          <w:p w:rsidRPr="00E523B4" w:rsidR="00F44854" w:rsidP="0072061F" w:rsidRDefault="00F44854">
            <w:pPr>
              <w:rPr>
                <w:rFonts w:ascii="Calibri" w:hAnsi="Calibri"/>
                <w:sz w:val="22"/>
                <w:szCs w:val="22"/>
                <w:lang w:eastAsia="hr-HR"/>
              </w:rPr>
            </w:pPr>
            <w:r w:rsidRPr="00E523B4">
              <w:rPr>
                <w:rFonts w:ascii="Calibri" w:hAnsi="Calibri"/>
                <w:sz w:val="22"/>
                <w:szCs w:val="22"/>
                <w:lang w:eastAsia="hr-HR"/>
              </w:rPr>
              <w:t xml:space="preserve">Komu. naknade, grijanje, el.energija, voda </w:t>
            </w:r>
          </w:p>
        </w:tc>
        <w:tc>
          <w:tcPr>
            <w:tcW w:w="1780" w:type="dxa"/>
            <w:tcBorders>
              <w:top w:val="nil"/>
              <w:left w:val="nil"/>
              <w:bottom w:val="single" w:color="auto" w:sz="4" w:space="0"/>
              <w:right w:val="single" w:color="auto" w:sz="8" w:space="0"/>
            </w:tcBorders>
            <w:shd w:val="clear" w:color="auto" w:fill="auto"/>
            <w:noWrap/>
            <w:vAlign w:val="bottom"/>
            <w:hideMark/>
          </w:tcPr>
          <w:p w:rsidRPr="00E523B4" w:rsidR="00F44854" w:rsidP="0072061F" w:rsidRDefault="00F44854">
            <w:pPr>
              <w:jc w:val="right"/>
              <w:rPr>
                <w:rFonts w:ascii="Calibri" w:hAnsi="Calibri"/>
                <w:b/>
                <w:bCs/>
                <w:sz w:val="22"/>
                <w:szCs w:val="22"/>
                <w:lang w:eastAsia="hr-HR"/>
              </w:rPr>
            </w:pPr>
            <w:r>
              <w:rPr>
                <w:rFonts w:ascii="Calibri" w:hAnsi="Calibri"/>
                <w:b/>
                <w:bCs/>
                <w:sz w:val="22"/>
                <w:szCs w:val="22"/>
                <w:lang w:eastAsia="hr-HR"/>
              </w:rPr>
              <w:t>13.583,36</w:t>
            </w:r>
          </w:p>
        </w:tc>
      </w:tr>
      <w:tr w:rsidRPr="009D4DE7" w:rsidR="00F44854" w:rsidTr="0072061F">
        <w:trPr>
          <w:trHeight w:val="300"/>
        </w:trPr>
        <w:tc>
          <w:tcPr>
            <w:tcW w:w="883" w:type="dxa"/>
            <w:tcBorders>
              <w:top w:val="nil"/>
              <w:left w:val="single" w:color="auto" w:sz="8" w:space="0"/>
              <w:bottom w:val="single" w:color="auto" w:sz="4" w:space="0"/>
              <w:right w:val="single" w:color="auto" w:sz="8" w:space="0"/>
            </w:tcBorders>
            <w:shd w:val="clear" w:color="auto" w:fill="auto"/>
            <w:noWrap/>
            <w:vAlign w:val="bottom"/>
            <w:hideMark/>
          </w:tcPr>
          <w:p w:rsidRPr="00E523B4" w:rsidR="00F44854" w:rsidP="0072061F" w:rsidRDefault="00F44854">
            <w:pPr>
              <w:jc w:val="center"/>
              <w:rPr>
                <w:rFonts w:ascii="Calibri" w:hAnsi="Calibri"/>
                <w:sz w:val="22"/>
                <w:szCs w:val="22"/>
                <w:lang w:eastAsia="hr-HR"/>
              </w:rPr>
            </w:pPr>
            <w:r>
              <w:rPr>
                <w:rFonts w:ascii="Calibri" w:hAnsi="Calibri"/>
                <w:sz w:val="22"/>
                <w:szCs w:val="22"/>
                <w:lang w:eastAsia="hr-HR"/>
              </w:rPr>
              <w:t>4</w:t>
            </w:r>
          </w:p>
        </w:tc>
        <w:tc>
          <w:tcPr>
            <w:tcW w:w="6560" w:type="dxa"/>
            <w:tcBorders>
              <w:top w:val="nil"/>
              <w:left w:val="nil"/>
              <w:bottom w:val="single" w:color="auto" w:sz="4" w:space="0"/>
              <w:right w:val="single" w:color="auto" w:sz="8" w:space="0"/>
            </w:tcBorders>
            <w:shd w:val="clear" w:color="auto" w:fill="auto"/>
            <w:noWrap/>
            <w:vAlign w:val="bottom"/>
            <w:hideMark/>
          </w:tcPr>
          <w:p w:rsidRPr="00E523B4" w:rsidR="00F44854" w:rsidP="0072061F" w:rsidRDefault="00F44854">
            <w:pPr>
              <w:rPr>
                <w:rFonts w:ascii="Calibri" w:hAnsi="Calibri"/>
                <w:sz w:val="22"/>
                <w:szCs w:val="22"/>
                <w:lang w:eastAsia="hr-HR"/>
              </w:rPr>
            </w:pPr>
            <w:r w:rsidRPr="00E523B4">
              <w:rPr>
                <w:rFonts w:ascii="Calibri" w:hAnsi="Calibri"/>
                <w:sz w:val="22"/>
                <w:szCs w:val="22"/>
                <w:lang w:eastAsia="hr-HR"/>
              </w:rPr>
              <w:t xml:space="preserve">Knjigovodstveni servis </w:t>
            </w:r>
          </w:p>
        </w:tc>
        <w:tc>
          <w:tcPr>
            <w:tcW w:w="1780" w:type="dxa"/>
            <w:tcBorders>
              <w:top w:val="nil"/>
              <w:left w:val="nil"/>
              <w:bottom w:val="single" w:color="auto" w:sz="4" w:space="0"/>
              <w:right w:val="single" w:color="auto" w:sz="8" w:space="0"/>
            </w:tcBorders>
            <w:shd w:val="clear" w:color="auto" w:fill="auto"/>
            <w:noWrap/>
            <w:vAlign w:val="bottom"/>
            <w:hideMark/>
          </w:tcPr>
          <w:p w:rsidRPr="00E523B4" w:rsidR="00F44854" w:rsidP="0072061F" w:rsidRDefault="00F44854">
            <w:pPr>
              <w:jc w:val="right"/>
              <w:rPr>
                <w:rFonts w:ascii="Calibri" w:hAnsi="Calibri"/>
                <w:b/>
                <w:bCs/>
                <w:sz w:val="22"/>
                <w:szCs w:val="22"/>
                <w:lang w:eastAsia="hr-HR"/>
              </w:rPr>
            </w:pPr>
            <w:r>
              <w:rPr>
                <w:rFonts w:ascii="Calibri" w:hAnsi="Calibri"/>
                <w:b/>
                <w:bCs/>
                <w:sz w:val="22"/>
                <w:szCs w:val="22"/>
                <w:lang w:eastAsia="hr-HR"/>
              </w:rPr>
              <w:t>15</w:t>
            </w:r>
            <w:r w:rsidRPr="00E523B4">
              <w:rPr>
                <w:rFonts w:ascii="Calibri" w:hAnsi="Calibri"/>
                <w:b/>
                <w:bCs/>
                <w:sz w:val="22"/>
                <w:szCs w:val="22"/>
                <w:lang w:eastAsia="hr-HR"/>
              </w:rPr>
              <w:t>.000,00</w:t>
            </w:r>
          </w:p>
        </w:tc>
      </w:tr>
      <w:tr w:rsidRPr="009D4DE7" w:rsidR="00F44854" w:rsidTr="0072061F">
        <w:trPr>
          <w:trHeight w:val="300"/>
        </w:trPr>
        <w:tc>
          <w:tcPr>
            <w:tcW w:w="883" w:type="dxa"/>
            <w:tcBorders>
              <w:top w:val="nil"/>
              <w:left w:val="single" w:color="auto" w:sz="8" w:space="0"/>
              <w:bottom w:val="single" w:color="auto" w:sz="4" w:space="0"/>
              <w:right w:val="single" w:color="auto" w:sz="8" w:space="0"/>
            </w:tcBorders>
            <w:shd w:val="clear" w:color="auto" w:fill="auto"/>
            <w:noWrap/>
            <w:vAlign w:val="bottom"/>
            <w:hideMark/>
          </w:tcPr>
          <w:p w:rsidRPr="00E523B4" w:rsidR="00F44854" w:rsidP="0072061F" w:rsidRDefault="00F44854">
            <w:pPr>
              <w:jc w:val="center"/>
              <w:rPr>
                <w:rFonts w:ascii="Calibri" w:hAnsi="Calibri"/>
                <w:sz w:val="22"/>
                <w:szCs w:val="22"/>
                <w:lang w:eastAsia="hr-HR"/>
              </w:rPr>
            </w:pPr>
            <w:r>
              <w:rPr>
                <w:rFonts w:ascii="Calibri" w:hAnsi="Calibri"/>
                <w:sz w:val="22"/>
                <w:szCs w:val="22"/>
                <w:lang w:eastAsia="hr-HR"/>
              </w:rPr>
              <w:t>5</w:t>
            </w:r>
          </w:p>
        </w:tc>
        <w:tc>
          <w:tcPr>
            <w:tcW w:w="6560" w:type="dxa"/>
            <w:tcBorders>
              <w:top w:val="nil"/>
              <w:left w:val="nil"/>
              <w:bottom w:val="single" w:color="auto" w:sz="4" w:space="0"/>
              <w:right w:val="single" w:color="auto" w:sz="8" w:space="0"/>
            </w:tcBorders>
            <w:shd w:val="clear" w:color="auto" w:fill="auto"/>
            <w:noWrap/>
            <w:vAlign w:val="bottom"/>
            <w:hideMark/>
          </w:tcPr>
          <w:p w:rsidRPr="00E523B4" w:rsidR="00F44854" w:rsidP="0072061F" w:rsidRDefault="00F44854">
            <w:pPr>
              <w:rPr>
                <w:rFonts w:ascii="Calibri" w:hAnsi="Calibri"/>
                <w:sz w:val="22"/>
                <w:szCs w:val="22"/>
                <w:lang w:eastAsia="hr-HR"/>
              </w:rPr>
            </w:pPr>
            <w:r w:rsidRPr="00E523B4">
              <w:rPr>
                <w:rFonts w:ascii="Calibri" w:hAnsi="Calibri"/>
                <w:sz w:val="22"/>
                <w:szCs w:val="22"/>
                <w:lang w:eastAsia="hr-HR"/>
              </w:rPr>
              <w:t>HT usluge</w:t>
            </w:r>
          </w:p>
        </w:tc>
        <w:tc>
          <w:tcPr>
            <w:tcW w:w="1780" w:type="dxa"/>
            <w:tcBorders>
              <w:top w:val="nil"/>
              <w:left w:val="nil"/>
              <w:bottom w:val="single" w:color="auto" w:sz="4" w:space="0"/>
              <w:right w:val="single" w:color="auto" w:sz="8" w:space="0"/>
            </w:tcBorders>
            <w:shd w:val="clear" w:color="auto" w:fill="auto"/>
            <w:noWrap/>
            <w:vAlign w:val="bottom"/>
            <w:hideMark/>
          </w:tcPr>
          <w:p w:rsidRPr="00E523B4" w:rsidR="00F44854" w:rsidP="0072061F" w:rsidRDefault="00F44854">
            <w:pPr>
              <w:jc w:val="right"/>
              <w:rPr>
                <w:rFonts w:ascii="Calibri" w:hAnsi="Calibri"/>
                <w:b/>
                <w:bCs/>
                <w:sz w:val="22"/>
                <w:szCs w:val="22"/>
                <w:lang w:eastAsia="hr-HR"/>
              </w:rPr>
            </w:pPr>
            <w:r>
              <w:rPr>
                <w:rFonts w:ascii="Calibri" w:hAnsi="Calibri"/>
                <w:b/>
                <w:bCs/>
                <w:sz w:val="22"/>
                <w:szCs w:val="22"/>
                <w:lang w:eastAsia="hr-HR"/>
              </w:rPr>
              <w:t>784,48</w:t>
            </w:r>
          </w:p>
        </w:tc>
      </w:tr>
      <w:tr w:rsidRPr="009D4DE7" w:rsidR="00F44854" w:rsidTr="0072061F">
        <w:trPr>
          <w:trHeight w:val="300"/>
        </w:trPr>
        <w:tc>
          <w:tcPr>
            <w:tcW w:w="883" w:type="dxa"/>
            <w:tcBorders>
              <w:top w:val="nil"/>
              <w:left w:val="single" w:color="auto" w:sz="8" w:space="0"/>
              <w:bottom w:val="single" w:color="auto" w:sz="4" w:space="0"/>
              <w:right w:val="single" w:color="auto" w:sz="8" w:space="0"/>
            </w:tcBorders>
            <w:shd w:val="clear" w:color="auto" w:fill="auto"/>
            <w:noWrap/>
            <w:vAlign w:val="bottom"/>
            <w:hideMark/>
          </w:tcPr>
          <w:p w:rsidRPr="00E523B4" w:rsidR="00F44854" w:rsidP="0072061F" w:rsidRDefault="00F44854">
            <w:pPr>
              <w:jc w:val="center"/>
              <w:rPr>
                <w:rFonts w:ascii="Calibri" w:hAnsi="Calibri"/>
                <w:sz w:val="22"/>
                <w:szCs w:val="22"/>
                <w:lang w:eastAsia="hr-HR"/>
              </w:rPr>
            </w:pPr>
            <w:r>
              <w:rPr>
                <w:rFonts w:ascii="Calibri" w:hAnsi="Calibri"/>
                <w:sz w:val="22"/>
                <w:szCs w:val="22"/>
                <w:lang w:eastAsia="hr-HR"/>
              </w:rPr>
              <w:t>6</w:t>
            </w:r>
          </w:p>
        </w:tc>
        <w:tc>
          <w:tcPr>
            <w:tcW w:w="6560" w:type="dxa"/>
            <w:tcBorders>
              <w:top w:val="nil"/>
              <w:left w:val="nil"/>
              <w:bottom w:val="single" w:color="auto" w:sz="4" w:space="0"/>
              <w:right w:val="single" w:color="auto" w:sz="8" w:space="0"/>
            </w:tcBorders>
            <w:shd w:val="clear" w:color="auto" w:fill="auto"/>
            <w:noWrap/>
            <w:vAlign w:val="bottom"/>
            <w:hideMark/>
          </w:tcPr>
          <w:p w:rsidRPr="00E523B4" w:rsidR="00F44854" w:rsidP="0072061F" w:rsidRDefault="00F44854">
            <w:pPr>
              <w:rPr>
                <w:rFonts w:ascii="Calibri" w:hAnsi="Calibri"/>
                <w:sz w:val="22"/>
                <w:szCs w:val="22"/>
                <w:lang w:eastAsia="hr-HR"/>
              </w:rPr>
            </w:pPr>
            <w:r w:rsidRPr="00E523B4">
              <w:rPr>
                <w:rFonts w:ascii="Calibri" w:hAnsi="Calibri"/>
                <w:sz w:val="22"/>
                <w:szCs w:val="22"/>
                <w:lang w:eastAsia="hr-HR"/>
              </w:rPr>
              <w:t>PTT (poštarina)</w:t>
            </w:r>
          </w:p>
        </w:tc>
        <w:tc>
          <w:tcPr>
            <w:tcW w:w="1780" w:type="dxa"/>
            <w:tcBorders>
              <w:top w:val="nil"/>
              <w:left w:val="nil"/>
              <w:bottom w:val="single" w:color="auto" w:sz="4" w:space="0"/>
              <w:right w:val="single" w:color="auto" w:sz="8" w:space="0"/>
            </w:tcBorders>
            <w:shd w:val="clear" w:color="auto" w:fill="auto"/>
            <w:noWrap/>
            <w:vAlign w:val="bottom"/>
            <w:hideMark/>
          </w:tcPr>
          <w:p w:rsidRPr="00E523B4" w:rsidR="00F44854" w:rsidP="0072061F" w:rsidRDefault="00F44854">
            <w:pPr>
              <w:jc w:val="right"/>
              <w:rPr>
                <w:rFonts w:ascii="Calibri" w:hAnsi="Calibri"/>
                <w:b/>
                <w:bCs/>
                <w:sz w:val="22"/>
                <w:szCs w:val="22"/>
                <w:lang w:eastAsia="hr-HR"/>
              </w:rPr>
            </w:pPr>
            <w:r>
              <w:rPr>
                <w:rFonts w:ascii="Calibri" w:hAnsi="Calibri"/>
                <w:b/>
                <w:bCs/>
                <w:sz w:val="22"/>
                <w:szCs w:val="22"/>
                <w:lang w:eastAsia="hr-HR"/>
              </w:rPr>
              <w:t>377,98</w:t>
            </w:r>
          </w:p>
        </w:tc>
      </w:tr>
      <w:tr w:rsidRPr="009D4DE7" w:rsidR="00F44854" w:rsidTr="0072061F">
        <w:trPr>
          <w:trHeight w:val="300"/>
        </w:trPr>
        <w:tc>
          <w:tcPr>
            <w:tcW w:w="883" w:type="dxa"/>
            <w:tcBorders>
              <w:top w:val="nil"/>
              <w:left w:val="single" w:color="auto" w:sz="8" w:space="0"/>
              <w:bottom w:val="single" w:color="auto" w:sz="4" w:space="0"/>
              <w:right w:val="single" w:color="auto" w:sz="8" w:space="0"/>
            </w:tcBorders>
            <w:shd w:val="clear" w:color="auto" w:fill="auto"/>
            <w:noWrap/>
            <w:vAlign w:val="bottom"/>
            <w:hideMark/>
          </w:tcPr>
          <w:p w:rsidRPr="00637778" w:rsidR="00F44854" w:rsidP="0072061F" w:rsidRDefault="00F44854">
            <w:pPr>
              <w:jc w:val="center"/>
              <w:rPr>
                <w:rFonts w:ascii="Calibri" w:hAnsi="Calibri"/>
                <w:sz w:val="22"/>
                <w:szCs w:val="22"/>
                <w:lang w:eastAsia="hr-HR"/>
              </w:rPr>
            </w:pPr>
            <w:r>
              <w:rPr>
                <w:rFonts w:ascii="Calibri" w:hAnsi="Calibri"/>
                <w:sz w:val="22"/>
                <w:szCs w:val="22"/>
                <w:lang w:eastAsia="hr-HR"/>
              </w:rPr>
              <w:t>7</w:t>
            </w:r>
          </w:p>
        </w:tc>
        <w:tc>
          <w:tcPr>
            <w:tcW w:w="6560" w:type="dxa"/>
            <w:tcBorders>
              <w:top w:val="nil"/>
              <w:left w:val="nil"/>
              <w:bottom w:val="single" w:color="auto" w:sz="4" w:space="0"/>
              <w:right w:val="single" w:color="auto" w:sz="8" w:space="0"/>
            </w:tcBorders>
            <w:shd w:val="clear" w:color="auto" w:fill="auto"/>
            <w:noWrap/>
            <w:vAlign w:val="bottom"/>
            <w:hideMark/>
          </w:tcPr>
          <w:p w:rsidRPr="00637778" w:rsidR="00F44854" w:rsidP="0072061F" w:rsidRDefault="00F44854">
            <w:pPr>
              <w:rPr>
                <w:rFonts w:ascii="Calibri" w:hAnsi="Calibri"/>
                <w:sz w:val="22"/>
                <w:szCs w:val="22"/>
                <w:lang w:eastAsia="hr-HR"/>
              </w:rPr>
            </w:pPr>
            <w:r w:rsidRPr="00637778">
              <w:rPr>
                <w:rFonts w:ascii="Calibri" w:hAnsi="Calibri"/>
                <w:sz w:val="22"/>
                <w:szCs w:val="22"/>
                <w:lang w:eastAsia="hr-HR"/>
              </w:rPr>
              <w:t>Uredski</w:t>
            </w:r>
            <w:r>
              <w:rPr>
                <w:rFonts w:ascii="Calibri" w:hAnsi="Calibri"/>
                <w:sz w:val="22"/>
                <w:szCs w:val="22"/>
                <w:lang w:eastAsia="hr-HR"/>
              </w:rPr>
              <w:t xml:space="preserve">, </w:t>
            </w:r>
            <w:r w:rsidRPr="00637778">
              <w:rPr>
                <w:rFonts w:ascii="Calibri" w:hAnsi="Calibri"/>
                <w:sz w:val="22"/>
                <w:szCs w:val="22"/>
                <w:lang w:eastAsia="hr-HR"/>
              </w:rPr>
              <w:t xml:space="preserve"> potrošni</w:t>
            </w:r>
            <w:r>
              <w:rPr>
                <w:rFonts w:ascii="Calibri" w:hAnsi="Calibri"/>
                <w:sz w:val="22"/>
                <w:szCs w:val="22"/>
                <w:lang w:eastAsia="hr-HR"/>
              </w:rPr>
              <w:t xml:space="preserve"> i informatički</w:t>
            </w:r>
            <w:r w:rsidRPr="00637778">
              <w:rPr>
                <w:rFonts w:ascii="Calibri" w:hAnsi="Calibri"/>
                <w:sz w:val="22"/>
                <w:szCs w:val="22"/>
                <w:lang w:eastAsia="hr-HR"/>
              </w:rPr>
              <w:t xml:space="preserve">  materijal</w:t>
            </w:r>
          </w:p>
        </w:tc>
        <w:tc>
          <w:tcPr>
            <w:tcW w:w="1780" w:type="dxa"/>
            <w:tcBorders>
              <w:top w:val="nil"/>
              <w:left w:val="nil"/>
              <w:bottom w:val="single" w:color="auto" w:sz="4" w:space="0"/>
              <w:right w:val="single" w:color="auto" w:sz="8" w:space="0"/>
            </w:tcBorders>
            <w:shd w:val="clear" w:color="auto" w:fill="auto"/>
            <w:noWrap/>
            <w:vAlign w:val="bottom"/>
            <w:hideMark/>
          </w:tcPr>
          <w:p w:rsidRPr="00637778" w:rsidR="00F44854" w:rsidP="0072061F" w:rsidRDefault="00F44854">
            <w:pPr>
              <w:jc w:val="right"/>
              <w:rPr>
                <w:rFonts w:ascii="Calibri" w:hAnsi="Calibri"/>
                <w:b/>
                <w:bCs/>
                <w:sz w:val="22"/>
                <w:szCs w:val="22"/>
                <w:lang w:eastAsia="hr-HR"/>
              </w:rPr>
            </w:pPr>
            <w:r>
              <w:rPr>
                <w:rFonts w:ascii="Calibri" w:hAnsi="Calibri"/>
                <w:b/>
                <w:bCs/>
                <w:sz w:val="22"/>
                <w:szCs w:val="22"/>
                <w:lang w:eastAsia="hr-HR"/>
              </w:rPr>
              <w:t>5.697,08</w:t>
            </w:r>
          </w:p>
        </w:tc>
      </w:tr>
      <w:tr w:rsidRPr="009D4DE7" w:rsidR="00F44854" w:rsidTr="0072061F">
        <w:trPr>
          <w:trHeight w:val="300"/>
        </w:trPr>
        <w:tc>
          <w:tcPr>
            <w:tcW w:w="883" w:type="dxa"/>
            <w:tcBorders>
              <w:top w:val="nil"/>
              <w:left w:val="single" w:color="auto" w:sz="8" w:space="0"/>
              <w:bottom w:val="single" w:color="auto" w:sz="4" w:space="0"/>
              <w:right w:val="single" w:color="auto" w:sz="8" w:space="0"/>
            </w:tcBorders>
            <w:shd w:val="clear" w:color="auto" w:fill="auto"/>
            <w:noWrap/>
            <w:vAlign w:val="bottom"/>
            <w:hideMark/>
          </w:tcPr>
          <w:p w:rsidRPr="00282C3E" w:rsidR="00F44854" w:rsidP="0072061F" w:rsidRDefault="00F44854">
            <w:pPr>
              <w:jc w:val="center"/>
              <w:rPr>
                <w:rFonts w:ascii="Calibri" w:hAnsi="Calibri"/>
                <w:sz w:val="22"/>
                <w:szCs w:val="22"/>
                <w:lang w:eastAsia="hr-HR"/>
              </w:rPr>
            </w:pPr>
            <w:r>
              <w:rPr>
                <w:rFonts w:ascii="Calibri" w:hAnsi="Calibri"/>
                <w:sz w:val="22"/>
                <w:szCs w:val="22"/>
                <w:lang w:eastAsia="hr-HR"/>
              </w:rPr>
              <w:t>8</w:t>
            </w:r>
          </w:p>
        </w:tc>
        <w:tc>
          <w:tcPr>
            <w:tcW w:w="6560" w:type="dxa"/>
            <w:tcBorders>
              <w:top w:val="nil"/>
              <w:left w:val="nil"/>
              <w:bottom w:val="single" w:color="auto" w:sz="4" w:space="0"/>
              <w:right w:val="single" w:color="auto" w:sz="8" w:space="0"/>
            </w:tcBorders>
            <w:shd w:val="clear" w:color="auto" w:fill="auto"/>
            <w:noWrap/>
            <w:vAlign w:val="bottom"/>
            <w:hideMark/>
          </w:tcPr>
          <w:p w:rsidRPr="00282C3E" w:rsidR="00F44854" w:rsidP="0072061F" w:rsidRDefault="00F44854">
            <w:pPr>
              <w:rPr>
                <w:rFonts w:ascii="Calibri" w:hAnsi="Calibri"/>
                <w:sz w:val="22"/>
                <w:szCs w:val="22"/>
                <w:lang w:eastAsia="hr-HR"/>
              </w:rPr>
            </w:pPr>
            <w:r w:rsidRPr="00282C3E">
              <w:rPr>
                <w:rFonts w:ascii="Calibri" w:hAnsi="Calibri"/>
                <w:sz w:val="22"/>
                <w:szCs w:val="22"/>
                <w:lang w:eastAsia="hr-HR"/>
              </w:rPr>
              <w:t>Odvjetničke usluge ( po ugovoru sa GB)</w:t>
            </w:r>
          </w:p>
        </w:tc>
        <w:tc>
          <w:tcPr>
            <w:tcW w:w="1780" w:type="dxa"/>
            <w:tcBorders>
              <w:top w:val="nil"/>
              <w:left w:val="nil"/>
              <w:bottom w:val="single" w:color="auto" w:sz="4" w:space="0"/>
              <w:right w:val="single" w:color="auto" w:sz="8" w:space="0"/>
            </w:tcBorders>
            <w:shd w:val="clear" w:color="auto" w:fill="auto"/>
            <w:noWrap/>
            <w:vAlign w:val="bottom"/>
            <w:hideMark/>
          </w:tcPr>
          <w:p w:rsidRPr="00282C3E" w:rsidR="00F44854" w:rsidP="0072061F" w:rsidRDefault="00F44854">
            <w:pPr>
              <w:jc w:val="right"/>
              <w:rPr>
                <w:rFonts w:ascii="Calibri" w:hAnsi="Calibri"/>
                <w:b/>
                <w:bCs/>
                <w:sz w:val="22"/>
                <w:szCs w:val="22"/>
                <w:lang w:eastAsia="hr-HR"/>
              </w:rPr>
            </w:pPr>
            <w:r>
              <w:rPr>
                <w:rFonts w:ascii="Calibri" w:hAnsi="Calibri"/>
                <w:b/>
                <w:bCs/>
                <w:sz w:val="22"/>
                <w:szCs w:val="22"/>
                <w:lang w:eastAsia="hr-HR"/>
              </w:rPr>
              <w:t>187.279,40</w:t>
            </w:r>
          </w:p>
        </w:tc>
      </w:tr>
      <w:tr w:rsidRPr="009D4DE7" w:rsidR="00F44854" w:rsidTr="0072061F">
        <w:trPr>
          <w:trHeight w:val="300"/>
        </w:trPr>
        <w:tc>
          <w:tcPr>
            <w:tcW w:w="883" w:type="dxa"/>
            <w:tcBorders>
              <w:top w:val="nil"/>
              <w:left w:val="single" w:color="auto" w:sz="8" w:space="0"/>
              <w:bottom w:val="single" w:color="auto" w:sz="4" w:space="0"/>
              <w:right w:val="single" w:color="auto" w:sz="8" w:space="0"/>
            </w:tcBorders>
            <w:shd w:val="clear" w:color="auto" w:fill="auto"/>
            <w:noWrap/>
            <w:vAlign w:val="bottom"/>
            <w:hideMark/>
          </w:tcPr>
          <w:p w:rsidRPr="00637778" w:rsidR="00F44854" w:rsidP="0072061F" w:rsidRDefault="00775026">
            <w:pPr>
              <w:jc w:val="center"/>
              <w:rPr>
                <w:rFonts w:ascii="Calibri" w:hAnsi="Calibri"/>
                <w:sz w:val="22"/>
                <w:szCs w:val="22"/>
                <w:lang w:eastAsia="hr-HR"/>
              </w:rPr>
            </w:pPr>
            <w:r>
              <w:rPr>
                <w:rFonts w:ascii="Calibri" w:hAnsi="Calibri"/>
                <w:sz w:val="22"/>
                <w:szCs w:val="22"/>
                <w:lang w:eastAsia="hr-HR"/>
              </w:rPr>
              <w:t>9</w:t>
            </w:r>
          </w:p>
        </w:tc>
        <w:tc>
          <w:tcPr>
            <w:tcW w:w="6560" w:type="dxa"/>
            <w:tcBorders>
              <w:top w:val="nil"/>
              <w:left w:val="nil"/>
              <w:bottom w:val="single" w:color="auto" w:sz="4" w:space="0"/>
              <w:right w:val="single" w:color="auto" w:sz="8" w:space="0"/>
            </w:tcBorders>
            <w:shd w:val="clear" w:color="auto" w:fill="auto"/>
            <w:noWrap/>
            <w:vAlign w:val="bottom"/>
            <w:hideMark/>
          </w:tcPr>
          <w:p w:rsidRPr="00637778" w:rsidR="00F44854" w:rsidP="0072061F" w:rsidRDefault="00F44854">
            <w:pPr>
              <w:rPr>
                <w:rFonts w:ascii="Calibri" w:hAnsi="Calibri"/>
                <w:sz w:val="22"/>
                <w:szCs w:val="22"/>
                <w:lang w:eastAsia="hr-HR"/>
              </w:rPr>
            </w:pPr>
            <w:r w:rsidRPr="00637778">
              <w:rPr>
                <w:rFonts w:ascii="Calibri" w:hAnsi="Calibri"/>
                <w:sz w:val="22"/>
                <w:szCs w:val="22"/>
                <w:lang w:eastAsia="hr-HR"/>
              </w:rPr>
              <w:t>Sudske pristojbe</w:t>
            </w:r>
            <w:r>
              <w:rPr>
                <w:rFonts w:ascii="Calibri" w:hAnsi="Calibri"/>
                <w:sz w:val="22"/>
                <w:szCs w:val="22"/>
                <w:lang w:eastAsia="hr-HR"/>
              </w:rPr>
              <w:t xml:space="preserve">, predujmovi, upravne pristojbe </w:t>
            </w:r>
            <w:r w:rsidRPr="00637778">
              <w:rPr>
                <w:rFonts w:ascii="Calibri" w:hAnsi="Calibri"/>
                <w:sz w:val="22"/>
                <w:szCs w:val="22"/>
                <w:lang w:eastAsia="hr-HR"/>
              </w:rPr>
              <w:t xml:space="preserve"> i sudska vještačenja</w:t>
            </w:r>
          </w:p>
        </w:tc>
        <w:tc>
          <w:tcPr>
            <w:tcW w:w="1780" w:type="dxa"/>
            <w:tcBorders>
              <w:top w:val="nil"/>
              <w:left w:val="nil"/>
              <w:bottom w:val="single" w:color="auto" w:sz="4" w:space="0"/>
              <w:right w:val="single" w:color="auto" w:sz="8" w:space="0"/>
            </w:tcBorders>
            <w:shd w:val="clear" w:color="auto" w:fill="auto"/>
            <w:noWrap/>
            <w:vAlign w:val="bottom"/>
            <w:hideMark/>
          </w:tcPr>
          <w:p w:rsidRPr="00637778" w:rsidR="00F44854" w:rsidP="0072061F" w:rsidRDefault="00F44854">
            <w:pPr>
              <w:jc w:val="right"/>
              <w:rPr>
                <w:rFonts w:ascii="Calibri" w:hAnsi="Calibri"/>
                <w:b/>
                <w:bCs/>
                <w:sz w:val="22"/>
                <w:szCs w:val="22"/>
                <w:lang w:eastAsia="hr-HR"/>
              </w:rPr>
            </w:pPr>
            <w:r>
              <w:rPr>
                <w:rFonts w:ascii="Calibri" w:hAnsi="Calibri"/>
                <w:b/>
                <w:bCs/>
                <w:sz w:val="22"/>
                <w:szCs w:val="22"/>
                <w:lang w:eastAsia="hr-HR"/>
              </w:rPr>
              <w:t>36.303,00</w:t>
            </w:r>
          </w:p>
        </w:tc>
      </w:tr>
      <w:tr w:rsidRPr="009D4DE7" w:rsidR="00F44854" w:rsidTr="0072061F">
        <w:trPr>
          <w:trHeight w:val="300"/>
        </w:trPr>
        <w:tc>
          <w:tcPr>
            <w:tcW w:w="883" w:type="dxa"/>
            <w:tcBorders>
              <w:top w:val="nil"/>
              <w:left w:val="single" w:color="auto" w:sz="8" w:space="0"/>
              <w:bottom w:val="single" w:color="auto" w:sz="4" w:space="0"/>
              <w:right w:val="single" w:color="auto" w:sz="8" w:space="0"/>
            </w:tcBorders>
            <w:shd w:val="clear" w:color="auto" w:fill="auto"/>
            <w:noWrap/>
            <w:vAlign w:val="bottom"/>
            <w:hideMark/>
          </w:tcPr>
          <w:p w:rsidRPr="00637778" w:rsidR="00F44854" w:rsidP="0072061F" w:rsidRDefault="00F44854">
            <w:pPr>
              <w:jc w:val="center"/>
              <w:rPr>
                <w:rFonts w:ascii="Calibri" w:hAnsi="Calibri"/>
                <w:sz w:val="22"/>
                <w:szCs w:val="22"/>
                <w:lang w:eastAsia="hr-HR"/>
              </w:rPr>
            </w:pPr>
            <w:r>
              <w:rPr>
                <w:rFonts w:ascii="Calibri" w:hAnsi="Calibri"/>
                <w:sz w:val="22"/>
                <w:szCs w:val="22"/>
                <w:lang w:eastAsia="hr-HR"/>
              </w:rPr>
              <w:t>1</w:t>
            </w:r>
            <w:r w:rsidR="00775026">
              <w:rPr>
                <w:rFonts w:ascii="Calibri" w:hAnsi="Calibri"/>
                <w:sz w:val="22"/>
                <w:szCs w:val="22"/>
                <w:lang w:eastAsia="hr-HR"/>
              </w:rPr>
              <w:t>0</w:t>
            </w:r>
          </w:p>
        </w:tc>
        <w:tc>
          <w:tcPr>
            <w:tcW w:w="6560" w:type="dxa"/>
            <w:tcBorders>
              <w:top w:val="nil"/>
              <w:left w:val="nil"/>
              <w:bottom w:val="single" w:color="auto" w:sz="4" w:space="0"/>
              <w:right w:val="single" w:color="auto" w:sz="8" w:space="0"/>
            </w:tcBorders>
            <w:shd w:val="clear" w:color="auto" w:fill="auto"/>
            <w:noWrap/>
            <w:vAlign w:val="bottom"/>
            <w:hideMark/>
          </w:tcPr>
          <w:p w:rsidRPr="00637778" w:rsidR="00F44854" w:rsidP="0072061F" w:rsidRDefault="00F44854">
            <w:pPr>
              <w:rPr>
                <w:rFonts w:ascii="Calibri" w:hAnsi="Calibri"/>
                <w:sz w:val="22"/>
                <w:szCs w:val="22"/>
                <w:lang w:eastAsia="hr-HR"/>
              </w:rPr>
            </w:pPr>
            <w:r w:rsidRPr="00637778">
              <w:rPr>
                <w:rFonts w:ascii="Calibri" w:hAnsi="Calibri"/>
                <w:sz w:val="22"/>
                <w:szCs w:val="22"/>
                <w:lang w:eastAsia="hr-HR"/>
              </w:rPr>
              <w:t>Troškovi provizija, naknada bankama za vođenje računa</w:t>
            </w:r>
          </w:p>
        </w:tc>
        <w:tc>
          <w:tcPr>
            <w:tcW w:w="1780" w:type="dxa"/>
            <w:tcBorders>
              <w:top w:val="nil"/>
              <w:left w:val="nil"/>
              <w:bottom w:val="single" w:color="auto" w:sz="4" w:space="0"/>
              <w:right w:val="single" w:color="auto" w:sz="8" w:space="0"/>
            </w:tcBorders>
            <w:shd w:val="clear" w:color="auto" w:fill="auto"/>
            <w:noWrap/>
            <w:vAlign w:val="bottom"/>
            <w:hideMark/>
          </w:tcPr>
          <w:p w:rsidRPr="00637778" w:rsidR="00F44854" w:rsidP="0072061F" w:rsidRDefault="00F44854">
            <w:pPr>
              <w:jc w:val="right"/>
              <w:rPr>
                <w:rFonts w:ascii="Calibri" w:hAnsi="Calibri"/>
                <w:b/>
                <w:bCs/>
                <w:sz w:val="22"/>
                <w:szCs w:val="22"/>
                <w:lang w:eastAsia="hr-HR"/>
              </w:rPr>
            </w:pPr>
            <w:r>
              <w:rPr>
                <w:rFonts w:ascii="Calibri" w:hAnsi="Calibri"/>
                <w:b/>
                <w:bCs/>
                <w:sz w:val="22"/>
                <w:szCs w:val="22"/>
                <w:lang w:eastAsia="hr-HR"/>
              </w:rPr>
              <w:t>4.148,10</w:t>
            </w:r>
          </w:p>
        </w:tc>
      </w:tr>
      <w:tr w:rsidRPr="009D4DE7" w:rsidR="00F44854" w:rsidTr="0072061F">
        <w:trPr>
          <w:trHeight w:val="300"/>
        </w:trPr>
        <w:tc>
          <w:tcPr>
            <w:tcW w:w="883" w:type="dxa"/>
            <w:tcBorders>
              <w:top w:val="nil"/>
              <w:left w:val="single" w:color="auto" w:sz="8" w:space="0"/>
              <w:bottom w:val="single" w:color="auto" w:sz="4" w:space="0"/>
              <w:right w:val="single" w:color="auto" w:sz="8" w:space="0"/>
            </w:tcBorders>
            <w:shd w:val="clear" w:color="auto" w:fill="auto"/>
            <w:noWrap/>
            <w:vAlign w:val="bottom"/>
            <w:hideMark/>
          </w:tcPr>
          <w:p w:rsidRPr="00E523B4" w:rsidR="00F44854" w:rsidP="0072061F" w:rsidRDefault="00F44854">
            <w:pPr>
              <w:jc w:val="center"/>
              <w:rPr>
                <w:rFonts w:ascii="Calibri" w:hAnsi="Calibri"/>
                <w:sz w:val="22"/>
                <w:szCs w:val="22"/>
                <w:lang w:eastAsia="hr-HR"/>
              </w:rPr>
            </w:pPr>
            <w:r>
              <w:rPr>
                <w:rFonts w:ascii="Calibri" w:hAnsi="Calibri"/>
                <w:sz w:val="22"/>
                <w:szCs w:val="22"/>
                <w:lang w:eastAsia="hr-HR"/>
              </w:rPr>
              <w:t>1</w:t>
            </w:r>
            <w:r w:rsidR="00775026">
              <w:rPr>
                <w:rFonts w:ascii="Calibri" w:hAnsi="Calibri"/>
                <w:sz w:val="22"/>
                <w:szCs w:val="22"/>
                <w:lang w:eastAsia="hr-HR"/>
              </w:rPr>
              <w:t>1</w:t>
            </w:r>
          </w:p>
        </w:tc>
        <w:tc>
          <w:tcPr>
            <w:tcW w:w="6560" w:type="dxa"/>
            <w:tcBorders>
              <w:top w:val="nil"/>
              <w:left w:val="nil"/>
              <w:bottom w:val="single" w:color="auto" w:sz="4" w:space="0"/>
              <w:right w:val="single" w:color="auto" w:sz="8" w:space="0"/>
            </w:tcBorders>
            <w:shd w:val="clear" w:color="auto" w:fill="auto"/>
            <w:noWrap/>
            <w:vAlign w:val="bottom"/>
            <w:hideMark/>
          </w:tcPr>
          <w:p w:rsidRPr="00E523B4" w:rsidR="00F44854" w:rsidP="0072061F" w:rsidRDefault="00F44854">
            <w:pPr>
              <w:rPr>
                <w:rFonts w:ascii="Calibri" w:hAnsi="Calibri"/>
                <w:sz w:val="22"/>
                <w:szCs w:val="22"/>
                <w:lang w:eastAsia="hr-HR"/>
              </w:rPr>
            </w:pPr>
            <w:r w:rsidRPr="00E523B4">
              <w:rPr>
                <w:rFonts w:ascii="Calibri" w:hAnsi="Calibri"/>
                <w:sz w:val="22"/>
                <w:szCs w:val="22"/>
                <w:lang w:eastAsia="hr-HR"/>
              </w:rPr>
              <w:t>Troškovi vještačenja</w:t>
            </w:r>
            <w:r>
              <w:rPr>
                <w:rFonts w:ascii="Calibri" w:hAnsi="Calibri"/>
                <w:sz w:val="22"/>
                <w:szCs w:val="22"/>
                <w:lang w:eastAsia="hr-HR"/>
              </w:rPr>
              <w:t xml:space="preserve"> po nalogu GB</w:t>
            </w:r>
          </w:p>
        </w:tc>
        <w:tc>
          <w:tcPr>
            <w:tcW w:w="1780" w:type="dxa"/>
            <w:tcBorders>
              <w:top w:val="nil"/>
              <w:left w:val="nil"/>
              <w:bottom w:val="single" w:color="auto" w:sz="4" w:space="0"/>
              <w:right w:val="single" w:color="auto" w:sz="8" w:space="0"/>
            </w:tcBorders>
            <w:shd w:val="clear" w:color="auto" w:fill="auto"/>
            <w:noWrap/>
            <w:vAlign w:val="bottom"/>
            <w:hideMark/>
          </w:tcPr>
          <w:p w:rsidRPr="00E523B4" w:rsidR="00F44854" w:rsidP="0072061F" w:rsidRDefault="00F44854">
            <w:pPr>
              <w:jc w:val="right"/>
              <w:rPr>
                <w:rFonts w:ascii="Calibri" w:hAnsi="Calibri"/>
                <w:b/>
                <w:bCs/>
                <w:sz w:val="22"/>
                <w:szCs w:val="22"/>
                <w:lang w:eastAsia="hr-HR"/>
              </w:rPr>
            </w:pPr>
            <w:r>
              <w:rPr>
                <w:rFonts w:ascii="Calibri" w:hAnsi="Calibri"/>
                <w:b/>
                <w:bCs/>
                <w:sz w:val="22"/>
                <w:szCs w:val="22"/>
                <w:lang w:eastAsia="hr-HR"/>
              </w:rPr>
              <w:t>7.418,75</w:t>
            </w:r>
          </w:p>
        </w:tc>
      </w:tr>
      <w:tr w:rsidRPr="009D4DE7" w:rsidR="00F44854" w:rsidTr="0072061F">
        <w:trPr>
          <w:trHeight w:val="315"/>
        </w:trPr>
        <w:tc>
          <w:tcPr>
            <w:tcW w:w="883" w:type="dxa"/>
            <w:tcBorders>
              <w:top w:val="nil"/>
              <w:left w:val="single" w:color="auto" w:sz="8" w:space="0"/>
              <w:bottom w:val="single" w:color="auto" w:sz="4" w:space="0"/>
              <w:right w:val="single" w:color="auto" w:sz="8" w:space="0"/>
            </w:tcBorders>
            <w:shd w:val="clear" w:color="auto" w:fill="auto"/>
            <w:noWrap/>
            <w:vAlign w:val="bottom"/>
            <w:hideMark/>
          </w:tcPr>
          <w:p w:rsidRPr="00E523B4" w:rsidR="00F44854" w:rsidP="0072061F" w:rsidRDefault="00F44854">
            <w:pPr>
              <w:jc w:val="center"/>
              <w:rPr>
                <w:rFonts w:ascii="Calibri" w:hAnsi="Calibri"/>
                <w:sz w:val="22"/>
                <w:szCs w:val="22"/>
                <w:lang w:eastAsia="hr-HR"/>
              </w:rPr>
            </w:pPr>
            <w:r>
              <w:rPr>
                <w:rFonts w:ascii="Calibri" w:hAnsi="Calibri"/>
                <w:sz w:val="22"/>
                <w:szCs w:val="22"/>
                <w:lang w:eastAsia="hr-HR"/>
              </w:rPr>
              <w:t>1</w:t>
            </w:r>
            <w:r w:rsidR="00775026">
              <w:rPr>
                <w:rFonts w:ascii="Calibri" w:hAnsi="Calibri"/>
                <w:sz w:val="22"/>
                <w:szCs w:val="22"/>
                <w:lang w:eastAsia="hr-HR"/>
              </w:rPr>
              <w:t>2</w:t>
            </w:r>
          </w:p>
        </w:tc>
        <w:tc>
          <w:tcPr>
            <w:tcW w:w="6560" w:type="dxa"/>
            <w:tcBorders>
              <w:top w:val="nil"/>
              <w:left w:val="nil"/>
              <w:bottom w:val="single" w:color="auto" w:sz="4" w:space="0"/>
              <w:right w:val="single" w:color="auto" w:sz="8" w:space="0"/>
            </w:tcBorders>
            <w:shd w:val="clear" w:color="auto" w:fill="auto"/>
            <w:noWrap/>
            <w:vAlign w:val="bottom"/>
            <w:hideMark/>
          </w:tcPr>
          <w:p w:rsidRPr="00E523B4" w:rsidR="00F44854" w:rsidP="0072061F" w:rsidRDefault="00F44854">
            <w:pPr>
              <w:rPr>
                <w:rFonts w:ascii="Calibri" w:hAnsi="Calibri"/>
                <w:sz w:val="22"/>
                <w:szCs w:val="22"/>
                <w:lang w:eastAsia="hr-HR"/>
              </w:rPr>
            </w:pPr>
            <w:r w:rsidRPr="00E523B4">
              <w:rPr>
                <w:rFonts w:ascii="Calibri" w:hAnsi="Calibri"/>
                <w:sz w:val="22"/>
                <w:szCs w:val="22"/>
                <w:lang w:eastAsia="hr-HR"/>
              </w:rPr>
              <w:t>Administrativni poslovi</w:t>
            </w:r>
          </w:p>
        </w:tc>
        <w:tc>
          <w:tcPr>
            <w:tcW w:w="1780" w:type="dxa"/>
            <w:tcBorders>
              <w:top w:val="nil"/>
              <w:left w:val="nil"/>
              <w:bottom w:val="single" w:color="auto" w:sz="4" w:space="0"/>
              <w:right w:val="single" w:color="auto" w:sz="8" w:space="0"/>
            </w:tcBorders>
            <w:shd w:val="clear" w:color="auto" w:fill="auto"/>
            <w:noWrap/>
            <w:vAlign w:val="bottom"/>
            <w:hideMark/>
          </w:tcPr>
          <w:p w:rsidRPr="00E523B4" w:rsidR="00F44854" w:rsidP="0072061F" w:rsidRDefault="00F44854">
            <w:pPr>
              <w:jc w:val="right"/>
              <w:rPr>
                <w:rFonts w:ascii="Calibri" w:hAnsi="Calibri"/>
                <w:b/>
                <w:bCs/>
                <w:sz w:val="22"/>
                <w:szCs w:val="22"/>
                <w:lang w:eastAsia="hr-HR"/>
              </w:rPr>
            </w:pPr>
            <w:r>
              <w:rPr>
                <w:rFonts w:ascii="Calibri" w:hAnsi="Calibri"/>
                <w:b/>
                <w:bCs/>
                <w:sz w:val="22"/>
                <w:szCs w:val="22"/>
                <w:lang w:eastAsia="hr-HR"/>
              </w:rPr>
              <w:t>29.940</w:t>
            </w:r>
            <w:r w:rsidRPr="00E523B4">
              <w:rPr>
                <w:rFonts w:ascii="Calibri" w:hAnsi="Calibri"/>
                <w:b/>
                <w:bCs/>
                <w:sz w:val="22"/>
                <w:szCs w:val="22"/>
                <w:lang w:eastAsia="hr-HR"/>
              </w:rPr>
              <w:t>,00</w:t>
            </w:r>
          </w:p>
        </w:tc>
      </w:tr>
      <w:tr w:rsidRPr="009D4DE7" w:rsidR="00F44854" w:rsidTr="0072061F">
        <w:trPr>
          <w:trHeight w:val="315"/>
        </w:trPr>
        <w:tc>
          <w:tcPr>
            <w:tcW w:w="883" w:type="dxa"/>
            <w:tcBorders>
              <w:top w:val="nil"/>
              <w:left w:val="single" w:color="auto" w:sz="8" w:space="0"/>
              <w:bottom w:val="single" w:color="auto" w:sz="4" w:space="0"/>
              <w:right w:val="single" w:color="auto" w:sz="8" w:space="0"/>
            </w:tcBorders>
            <w:shd w:val="clear" w:color="auto" w:fill="auto"/>
            <w:noWrap/>
            <w:vAlign w:val="bottom"/>
            <w:hideMark/>
          </w:tcPr>
          <w:p w:rsidRPr="00E523B4" w:rsidR="00F44854" w:rsidP="0072061F" w:rsidRDefault="00F44854">
            <w:pPr>
              <w:jc w:val="center"/>
              <w:rPr>
                <w:rFonts w:ascii="Calibri" w:hAnsi="Calibri"/>
                <w:sz w:val="22"/>
                <w:szCs w:val="22"/>
                <w:lang w:eastAsia="hr-HR"/>
              </w:rPr>
            </w:pPr>
            <w:r>
              <w:rPr>
                <w:rFonts w:ascii="Calibri" w:hAnsi="Calibri"/>
                <w:sz w:val="22"/>
                <w:szCs w:val="22"/>
                <w:lang w:eastAsia="hr-HR"/>
              </w:rPr>
              <w:t>1</w:t>
            </w:r>
            <w:r w:rsidR="00A45BD2">
              <w:rPr>
                <w:rFonts w:ascii="Calibri" w:hAnsi="Calibri"/>
                <w:sz w:val="22"/>
                <w:szCs w:val="22"/>
                <w:lang w:eastAsia="hr-HR"/>
              </w:rPr>
              <w:t>3</w:t>
            </w:r>
          </w:p>
        </w:tc>
        <w:tc>
          <w:tcPr>
            <w:tcW w:w="6560" w:type="dxa"/>
            <w:tcBorders>
              <w:top w:val="nil"/>
              <w:left w:val="nil"/>
              <w:bottom w:val="single" w:color="auto" w:sz="4" w:space="0"/>
              <w:right w:val="single" w:color="auto" w:sz="8" w:space="0"/>
            </w:tcBorders>
            <w:shd w:val="clear" w:color="auto" w:fill="auto"/>
            <w:noWrap/>
            <w:vAlign w:val="bottom"/>
            <w:hideMark/>
          </w:tcPr>
          <w:p w:rsidRPr="00E523B4" w:rsidR="00F44854" w:rsidP="0072061F" w:rsidRDefault="00F44854">
            <w:pPr>
              <w:rPr>
                <w:rFonts w:ascii="Calibri" w:hAnsi="Calibri"/>
                <w:sz w:val="22"/>
                <w:szCs w:val="22"/>
                <w:lang w:eastAsia="hr-HR"/>
              </w:rPr>
            </w:pPr>
            <w:r>
              <w:rPr>
                <w:rFonts w:ascii="Calibri" w:hAnsi="Calibri"/>
                <w:sz w:val="22"/>
                <w:szCs w:val="22"/>
                <w:lang w:eastAsia="hr-HR"/>
              </w:rPr>
              <w:t>FINA</w:t>
            </w:r>
          </w:p>
        </w:tc>
        <w:tc>
          <w:tcPr>
            <w:tcW w:w="1780" w:type="dxa"/>
            <w:tcBorders>
              <w:top w:val="nil"/>
              <w:left w:val="nil"/>
              <w:bottom w:val="single" w:color="auto" w:sz="4" w:space="0"/>
              <w:right w:val="single" w:color="auto" w:sz="8" w:space="0"/>
            </w:tcBorders>
            <w:shd w:val="clear" w:color="auto" w:fill="auto"/>
            <w:noWrap/>
            <w:vAlign w:val="bottom"/>
            <w:hideMark/>
          </w:tcPr>
          <w:p w:rsidRPr="00E523B4" w:rsidR="00F44854" w:rsidP="0072061F" w:rsidRDefault="00F44854">
            <w:pPr>
              <w:jc w:val="right"/>
              <w:rPr>
                <w:rFonts w:ascii="Calibri" w:hAnsi="Calibri"/>
                <w:b/>
                <w:bCs/>
                <w:sz w:val="22"/>
                <w:szCs w:val="22"/>
                <w:lang w:eastAsia="hr-HR"/>
              </w:rPr>
            </w:pPr>
            <w:r>
              <w:rPr>
                <w:rFonts w:ascii="Calibri" w:hAnsi="Calibri"/>
                <w:b/>
                <w:bCs/>
                <w:sz w:val="22"/>
                <w:szCs w:val="22"/>
                <w:lang w:eastAsia="hr-HR"/>
              </w:rPr>
              <w:t>369,90</w:t>
            </w:r>
          </w:p>
        </w:tc>
      </w:tr>
      <w:tr w:rsidRPr="009D4DE7" w:rsidR="00F44854" w:rsidTr="0072061F">
        <w:trPr>
          <w:trHeight w:val="315"/>
        </w:trPr>
        <w:tc>
          <w:tcPr>
            <w:tcW w:w="883" w:type="dxa"/>
            <w:tcBorders>
              <w:top w:val="nil"/>
              <w:left w:val="single" w:color="auto" w:sz="8" w:space="0"/>
              <w:bottom w:val="single" w:color="auto" w:sz="4" w:space="0"/>
              <w:right w:val="single" w:color="auto" w:sz="8" w:space="0"/>
            </w:tcBorders>
            <w:shd w:val="clear" w:color="auto" w:fill="auto"/>
            <w:noWrap/>
            <w:vAlign w:val="bottom"/>
            <w:hideMark/>
          </w:tcPr>
          <w:p w:rsidRPr="00E523B4" w:rsidR="00F44854" w:rsidP="0072061F" w:rsidRDefault="00F44854">
            <w:pPr>
              <w:jc w:val="center"/>
              <w:rPr>
                <w:rFonts w:ascii="Calibri" w:hAnsi="Calibri"/>
                <w:sz w:val="22"/>
                <w:szCs w:val="22"/>
                <w:lang w:eastAsia="hr-HR"/>
              </w:rPr>
            </w:pPr>
            <w:r>
              <w:rPr>
                <w:rFonts w:ascii="Calibri" w:hAnsi="Calibri"/>
                <w:sz w:val="22"/>
                <w:szCs w:val="22"/>
                <w:lang w:eastAsia="hr-HR"/>
              </w:rPr>
              <w:t>1</w:t>
            </w:r>
            <w:r w:rsidR="00775026">
              <w:rPr>
                <w:rFonts w:ascii="Calibri" w:hAnsi="Calibri"/>
                <w:sz w:val="22"/>
                <w:szCs w:val="22"/>
                <w:lang w:eastAsia="hr-HR"/>
              </w:rPr>
              <w:t>4</w:t>
            </w:r>
          </w:p>
        </w:tc>
        <w:tc>
          <w:tcPr>
            <w:tcW w:w="6560" w:type="dxa"/>
            <w:tcBorders>
              <w:top w:val="nil"/>
              <w:left w:val="nil"/>
              <w:bottom w:val="single" w:color="auto" w:sz="4" w:space="0"/>
              <w:right w:val="single" w:color="auto" w:sz="8" w:space="0"/>
            </w:tcBorders>
            <w:shd w:val="clear" w:color="auto" w:fill="auto"/>
            <w:noWrap/>
            <w:vAlign w:val="bottom"/>
            <w:hideMark/>
          </w:tcPr>
          <w:p w:rsidRPr="00E523B4" w:rsidR="00F44854" w:rsidP="0072061F" w:rsidRDefault="00F44854">
            <w:pPr>
              <w:rPr>
                <w:rFonts w:ascii="Calibri" w:hAnsi="Calibri"/>
                <w:sz w:val="22"/>
                <w:szCs w:val="22"/>
                <w:lang w:eastAsia="hr-HR"/>
              </w:rPr>
            </w:pPr>
            <w:r>
              <w:rPr>
                <w:rFonts w:ascii="Calibri" w:hAnsi="Calibri"/>
                <w:sz w:val="22"/>
                <w:szCs w:val="22"/>
                <w:lang w:eastAsia="hr-HR"/>
              </w:rPr>
              <w:t>Javnobilježničke usluge</w:t>
            </w:r>
          </w:p>
        </w:tc>
        <w:tc>
          <w:tcPr>
            <w:tcW w:w="1780" w:type="dxa"/>
            <w:tcBorders>
              <w:top w:val="nil"/>
              <w:left w:val="nil"/>
              <w:bottom w:val="single" w:color="auto" w:sz="4" w:space="0"/>
              <w:right w:val="single" w:color="auto" w:sz="8" w:space="0"/>
            </w:tcBorders>
            <w:shd w:val="clear" w:color="auto" w:fill="auto"/>
            <w:noWrap/>
            <w:vAlign w:val="bottom"/>
            <w:hideMark/>
          </w:tcPr>
          <w:p w:rsidRPr="00E523B4" w:rsidR="00F44854" w:rsidP="0072061F" w:rsidRDefault="00F44854">
            <w:pPr>
              <w:jc w:val="right"/>
              <w:rPr>
                <w:rFonts w:ascii="Calibri" w:hAnsi="Calibri"/>
                <w:b/>
                <w:bCs/>
                <w:sz w:val="22"/>
                <w:szCs w:val="22"/>
                <w:lang w:eastAsia="hr-HR"/>
              </w:rPr>
            </w:pPr>
            <w:r>
              <w:rPr>
                <w:rFonts w:ascii="Calibri" w:hAnsi="Calibri"/>
                <w:b/>
                <w:bCs/>
                <w:sz w:val="22"/>
                <w:szCs w:val="22"/>
                <w:lang w:eastAsia="hr-HR"/>
              </w:rPr>
              <w:t>698,50</w:t>
            </w:r>
          </w:p>
        </w:tc>
      </w:tr>
      <w:tr w:rsidRPr="009D4DE7" w:rsidR="00F44854" w:rsidTr="0072061F">
        <w:trPr>
          <w:trHeight w:val="315"/>
        </w:trPr>
        <w:tc>
          <w:tcPr>
            <w:tcW w:w="883" w:type="dxa"/>
            <w:tcBorders>
              <w:top w:val="nil"/>
              <w:left w:val="single" w:color="auto" w:sz="8" w:space="0"/>
              <w:bottom w:val="single" w:color="auto" w:sz="4" w:space="0"/>
              <w:right w:val="single" w:color="auto" w:sz="8" w:space="0"/>
            </w:tcBorders>
            <w:shd w:val="clear" w:color="auto" w:fill="auto"/>
            <w:noWrap/>
            <w:vAlign w:val="bottom"/>
            <w:hideMark/>
          </w:tcPr>
          <w:p w:rsidRPr="00E523B4" w:rsidR="00F44854" w:rsidP="0072061F" w:rsidRDefault="00F44854">
            <w:pPr>
              <w:jc w:val="center"/>
              <w:rPr>
                <w:rFonts w:ascii="Calibri" w:hAnsi="Calibri"/>
                <w:sz w:val="22"/>
                <w:szCs w:val="22"/>
                <w:lang w:eastAsia="hr-HR"/>
              </w:rPr>
            </w:pPr>
            <w:r>
              <w:rPr>
                <w:rFonts w:ascii="Calibri" w:hAnsi="Calibri"/>
                <w:sz w:val="22"/>
                <w:szCs w:val="22"/>
                <w:lang w:eastAsia="hr-HR"/>
              </w:rPr>
              <w:t>1</w:t>
            </w:r>
            <w:r w:rsidR="00775026">
              <w:rPr>
                <w:rFonts w:ascii="Calibri" w:hAnsi="Calibri"/>
                <w:sz w:val="22"/>
                <w:szCs w:val="22"/>
                <w:lang w:eastAsia="hr-HR"/>
              </w:rPr>
              <w:t>5</w:t>
            </w:r>
          </w:p>
        </w:tc>
        <w:tc>
          <w:tcPr>
            <w:tcW w:w="6560" w:type="dxa"/>
            <w:tcBorders>
              <w:top w:val="nil"/>
              <w:left w:val="nil"/>
              <w:bottom w:val="single" w:color="auto" w:sz="4" w:space="0"/>
              <w:right w:val="single" w:color="auto" w:sz="8" w:space="0"/>
            </w:tcBorders>
            <w:shd w:val="clear" w:color="auto" w:fill="auto"/>
            <w:noWrap/>
            <w:vAlign w:val="bottom"/>
            <w:hideMark/>
          </w:tcPr>
          <w:p w:rsidRPr="00E523B4" w:rsidR="00F44854" w:rsidP="0072061F" w:rsidRDefault="00F44854">
            <w:pPr>
              <w:rPr>
                <w:rFonts w:ascii="Calibri" w:hAnsi="Calibri"/>
                <w:sz w:val="22"/>
                <w:szCs w:val="22"/>
                <w:lang w:eastAsia="hr-HR"/>
              </w:rPr>
            </w:pPr>
            <w:r>
              <w:rPr>
                <w:rFonts w:ascii="Calibri" w:hAnsi="Calibri"/>
                <w:sz w:val="22"/>
                <w:szCs w:val="22"/>
                <w:lang w:eastAsia="hr-HR"/>
              </w:rPr>
              <w:t>Porez na dobit</w:t>
            </w:r>
          </w:p>
        </w:tc>
        <w:tc>
          <w:tcPr>
            <w:tcW w:w="1780" w:type="dxa"/>
            <w:tcBorders>
              <w:top w:val="nil"/>
              <w:left w:val="nil"/>
              <w:bottom w:val="single" w:color="auto" w:sz="4" w:space="0"/>
              <w:right w:val="single" w:color="auto" w:sz="8" w:space="0"/>
            </w:tcBorders>
            <w:shd w:val="clear" w:color="auto" w:fill="auto"/>
            <w:noWrap/>
            <w:vAlign w:val="bottom"/>
            <w:hideMark/>
          </w:tcPr>
          <w:p w:rsidRPr="00E523B4" w:rsidR="00F44854" w:rsidP="0072061F" w:rsidRDefault="00F44854">
            <w:pPr>
              <w:jc w:val="right"/>
              <w:rPr>
                <w:rFonts w:ascii="Calibri" w:hAnsi="Calibri"/>
                <w:b/>
                <w:bCs/>
                <w:sz w:val="22"/>
                <w:szCs w:val="22"/>
                <w:lang w:eastAsia="hr-HR"/>
              </w:rPr>
            </w:pPr>
            <w:r>
              <w:rPr>
                <w:rFonts w:ascii="Calibri" w:hAnsi="Calibri"/>
                <w:b/>
                <w:bCs/>
                <w:sz w:val="22"/>
                <w:szCs w:val="22"/>
                <w:lang w:eastAsia="hr-HR"/>
              </w:rPr>
              <w:t>320,88</w:t>
            </w:r>
          </w:p>
        </w:tc>
      </w:tr>
      <w:tr w:rsidRPr="009D4DE7" w:rsidR="00F44854" w:rsidTr="0072061F">
        <w:trPr>
          <w:trHeight w:val="315"/>
        </w:trPr>
        <w:tc>
          <w:tcPr>
            <w:tcW w:w="883" w:type="dxa"/>
            <w:tcBorders>
              <w:top w:val="single" w:color="auto" w:sz="8" w:space="0"/>
              <w:left w:val="single" w:color="auto" w:sz="8" w:space="0"/>
              <w:bottom w:val="single" w:color="auto" w:sz="8" w:space="0"/>
              <w:right w:val="nil"/>
            </w:tcBorders>
            <w:shd w:val="clear" w:color="auto" w:fill="auto"/>
            <w:noWrap/>
            <w:vAlign w:val="bottom"/>
            <w:hideMark/>
          </w:tcPr>
          <w:p w:rsidRPr="00D645EE" w:rsidR="00F44854" w:rsidP="0072061F" w:rsidRDefault="00F44854">
            <w:pPr>
              <w:jc w:val="center"/>
              <w:rPr>
                <w:rFonts w:ascii="Calibri" w:hAnsi="Calibri"/>
                <w:b/>
                <w:bCs/>
                <w:sz w:val="22"/>
                <w:szCs w:val="22"/>
                <w:lang w:eastAsia="hr-HR"/>
              </w:rPr>
            </w:pPr>
            <w:r w:rsidRPr="00D645EE">
              <w:rPr>
                <w:rFonts w:ascii="Calibri" w:hAnsi="Calibri"/>
                <w:b/>
                <w:bCs/>
                <w:sz w:val="22"/>
                <w:szCs w:val="22"/>
                <w:lang w:eastAsia="hr-HR"/>
              </w:rPr>
              <w:t> </w:t>
            </w:r>
          </w:p>
        </w:tc>
        <w:tc>
          <w:tcPr>
            <w:tcW w:w="6560" w:type="dxa"/>
            <w:tcBorders>
              <w:top w:val="single" w:color="auto" w:sz="8" w:space="0"/>
              <w:left w:val="single" w:color="auto" w:sz="8" w:space="0"/>
              <w:bottom w:val="single" w:color="auto" w:sz="8" w:space="0"/>
              <w:right w:val="single" w:color="auto" w:sz="8" w:space="0"/>
            </w:tcBorders>
            <w:shd w:val="clear" w:color="auto" w:fill="auto"/>
            <w:noWrap/>
            <w:vAlign w:val="bottom"/>
            <w:hideMark/>
          </w:tcPr>
          <w:p w:rsidRPr="00D645EE" w:rsidR="00F44854" w:rsidP="0072061F" w:rsidRDefault="00F44854">
            <w:pPr>
              <w:rPr>
                <w:rFonts w:ascii="Calibri" w:hAnsi="Calibri"/>
                <w:b/>
                <w:bCs/>
                <w:sz w:val="22"/>
                <w:szCs w:val="22"/>
                <w:lang w:eastAsia="hr-HR"/>
              </w:rPr>
            </w:pPr>
            <w:r w:rsidRPr="00D645EE">
              <w:rPr>
                <w:rFonts w:ascii="Calibri" w:hAnsi="Calibri"/>
                <w:b/>
                <w:bCs/>
                <w:sz w:val="22"/>
                <w:szCs w:val="22"/>
                <w:lang w:eastAsia="hr-HR"/>
              </w:rPr>
              <w:t>Ukupno A+B</w:t>
            </w:r>
          </w:p>
        </w:tc>
        <w:tc>
          <w:tcPr>
            <w:tcW w:w="1780" w:type="dxa"/>
            <w:tcBorders>
              <w:top w:val="single" w:color="auto" w:sz="8" w:space="0"/>
              <w:left w:val="nil"/>
              <w:bottom w:val="single" w:color="auto" w:sz="8" w:space="0"/>
              <w:right w:val="single" w:color="auto" w:sz="8" w:space="0"/>
            </w:tcBorders>
            <w:shd w:val="clear" w:color="auto" w:fill="auto"/>
            <w:noWrap/>
            <w:vAlign w:val="bottom"/>
            <w:hideMark/>
          </w:tcPr>
          <w:p w:rsidRPr="00D645EE" w:rsidR="00F44854" w:rsidP="0072061F" w:rsidRDefault="00F44854">
            <w:pPr>
              <w:jc w:val="right"/>
              <w:rPr>
                <w:rFonts w:ascii="Calibri" w:hAnsi="Calibri"/>
                <w:b/>
                <w:bCs/>
                <w:sz w:val="22"/>
                <w:szCs w:val="22"/>
                <w:lang w:eastAsia="hr-HR"/>
              </w:rPr>
            </w:pPr>
            <w:r>
              <w:rPr>
                <w:rFonts w:ascii="Calibri" w:hAnsi="Calibri"/>
                <w:b/>
                <w:bCs/>
                <w:sz w:val="22"/>
                <w:szCs w:val="22"/>
                <w:lang w:eastAsia="hr-HR"/>
              </w:rPr>
              <w:t>386.877,81</w:t>
            </w:r>
          </w:p>
        </w:tc>
      </w:tr>
    </w:tbl>
    <w:p w:rsidR="00F44854" w:rsidP="00F44854" w:rsidRDefault="00F44854">
      <w:pPr>
        <w:jc w:val="both"/>
        <w:rPr>
          <w:rFonts w:ascii="Sylfaen" w:hAnsi="Sylfaen"/>
          <w:b/>
          <w:sz w:val="28"/>
          <w:szCs w:val="28"/>
        </w:rPr>
      </w:pPr>
    </w:p>
    <w:p w:rsidR="00EF24EB" w:rsidP="00F44854" w:rsidRDefault="00EF24EB">
      <w:pPr>
        <w:jc w:val="both"/>
        <w:rPr>
          <w:rFonts w:ascii="Sylfaen" w:hAnsi="Sylfaen"/>
          <w:b/>
          <w:sz w:val="28"/>
          <w:szCs w:val="28"/>
        </w:rPr>
      </w:pPr>
    </w:p>
    <w:p w:rsidR="00EF24EB" w:rsidP="00F44854" w:rsidRDefault="00EF24EB">
      <w:pPr>
        <w:jc w:val="both"/>
        <w:rPr>
          <w:rFonts w:ascii="Sylfaen" w:hAnsi="Sylfaen"/>
          <w:b/>
          <w:sz w:val="28"/>
          <w:szCs w:val="28"/>
        </w:rPr>
      </w:pPr>
    </w:p>
    <w:p w:rsidR="00EF24EB" w:rsidP="00F44854" w:rsidRDefault="00EF24EB">
      <w:pPr>
        <w:jc w:val="both"/>
        <w:rPr>
          <w:rFonts w:ascii="Sylfaen" w:hAnsi="Sylfaen"/>
          <w:b/>
          <w:sz w:val="28"/>
          <w:szCs w:val="28"/>
        </w:rPr>
      </w:pPr>
    </w:p>
    <w:p w:rsidR="00EF24EB" w:rsidP="00F44854" w:rsidRDefault="00EF24EB">
      <w:pPr>
        <w:jc w:val="both"/>
        <w:rPr>
          <w:rFonts w:ascii="Sylfaen" w:hAnsi="Sylfaen"/>
          <w:b/>
          <w:sz w:val="28"/>
          <w:szCs w:val="28"/>
        </w:rPr>
      </w:pPr>
    </w:p>
    <w:p w:rsidR="00EF24EB" w:rsidP="00F44854" w:rsidRDefault="00EF24EB">
      <w:pPr>
        <w:jc w:val="both"/>
        <w:rPr>
          <w:rFonts w:ascii="Sylfaen" w:hAnsi="Sylfaen"/>
          <w:b/>
          <w:sz w:val="28"/>
          <w:szCs w:val="28"/>
        </w:rPr>
      </w:pPr>
    </w:p>
    <w:p w:rsidR="00EF24EB" w:rsidP="00F44854" w:rsidRDefault="00EF24EB">
      <w:pPr>
        <w:jc w:val="both"/>
        <w:rPr>
          <w:rFonts w:ascii="Sylfaen" w:hAnsi="Sylfaen"/>
          <w:b/>
          <w:sz w:val="28"/>
          <w:szCs w:val="28"/>
        </w:rPr>
      </w:pPr>
    </w:p>
    <w:p w:rsidR="00F44854" w:rsidP="00F44854" w:rsidRDefault="00F44854">
      <w:pPr>
        <w:jc w:val="both"/>
        <w:rPr>
          <w:rFonts w:ascii="Sylfaen" w:hAnsi="Sylfaen"/>
          <w:b/>
          <w:sz w:val="28"/>
          <w:szCs w:val="28"/>
        </w:rPr>
      </w:pPr>
    </w:p>
    <w:p w:rsidRPr="000029B9" w:rsidR="00F44854" w:rsidP="00F44854" w:rsidRDefault="00F44854">
      <w:pPr>
        <w:jc w:val="both"/>
        <w:rPr>
          <w:rFonts w:ascii="Sylfaen" w:hAnsi="Sylfaen"/>
          <w:b/>
          <w:sz w:val="28"/>
          <w:szCs w:val="28"/>
        </w:rPr>
      </w:pPr>
      <w:r w:rsidRPr="000029B9">
        <w:rPr>
          <w:rFonts w:ascii="Sylfaen" w:hAnsi="Sylfaen"/>
          <w:b/>
          <w:sz w:val="28"/>
          <w:szCs w:val="28"/>
        </w:rPr>
        <w:lastRenderedPageBreak/>
        <w:t xml:space="preserve">PRIHODI STEČAJNOG POSTUPKA GLUMINA BANKA d.d. u stečaju  od </w:t>
      </w:r>
      <w:r>
        <w:rPr>
          <w:rFonts w:ascii="Sylfaen" w:hAnsi="Sylfaen"/>
          <w:b/>
          <w:sz w:val="28"/>
          <w:szCs w:val="28"/>
        </w:rPr>
        <w:t>01.09</w:t>
      </w:r>
      <w:r w:rsidRPr="000029B9">
        <w:rPr>
          <w:rFonts w:ascii="Sylfaen" w:hAnsi="Sylfaen"/>
          <w:b/>
          <w:sz w:val="28"/>
          <w:szCs w:val="28"/>
        </w:rPr>
        <w:t xml:space="preserve">.2019. god. do </w:t>
      </w:r>
      <w:r>
        <w:rPr>
          <w:rFonts w:ascii="Sylfaen" w:hAnsi="Sylfaen"/>
          <w:b/>
          <w:sz w:val="28"/>
          <w:szCs w:val="28"/>
        </w:rPr>
        <w:t>30.11</w:t>
      </w:r>
      <w:r w:rsidRPr="000029B9">
        <w:rPr>
          <w:rFonts w:ascii="Sylfaen" w:hAnsi="Sylfaen"/>
          <w:b/>
          <w:sz w:val="28"/>
          <w:szCs w:val="28"/>
        </w:rPr>
        <w:t xml:space="preserve">.2019. god. </w:t>
      </w:r>
    </w:p>
    <w:p w:rsidRPr="009D4DE7" w:rsidR="00F44854" w:rsidP="00F44854" w:rsidRDefault="00F44854">
      <w:pPr>
        <w:rPr>
          <w:rFonts w:ascii="Sylfaen" w:hAnsi="Sylfaen"/>
          <w:color w:val="FF0000"/>
          <w:u w:val="single"/>
        </w:rPr>
      </w:pPr>
    </w:p>
    <w:tbl>
      <w:tblPr>
        <w:tblW w:w="9000" w:type="dxa"/>
        <w:tblInd w:w="93" w:type="dxa"/>
        <w:tblLook w:firstRow="1" w:lastRow="0" w:firstColumn="1" w:lastColumn="0" w:noHBand="0" w:noVBand="1" w:val="04A0"/>
      </w:tblPr>
      <w:tblGrid>
        <w:gridCol w:w="1480"/>
        <w:gridCol w:w="5960"/>
        <w:gridCol w:w="1560"/>
      </w:tblGrid>
      <w:tr w:rsidRPr="009D4DE7" w:rsidR="00F44854" w:rsidTr="0072061F">
        <w:trPr>
          <w:trHeight w:val="315"/>
        </w:trPr>
        <w:tc>
          <w:tcPr>
            <w:tcW w:w="1480" w:type="dxa"/>
            <w:tcBorders>
              <w:top w:val="single" w:color="auto" w:sz="8" w:space="0"/>
              <w:left w:val="single" w:color="auto" w:sz="8" w:space="0"/>
              <w:bottom w:val="single" w:color="auto" w:sz="8" w:space="0"/>
              <w:right w:val="single" w:color="auto" w:sz="8" w:space="0"/>
            </w:tcBorders>
            <w:shd w:val="clear" w:color="auto" w:fill="auto"/>
            <w:noWrap/>
            <w:vAlign w:val="bottom"/>
            <w:hideMark/>
          </w:tcPr>
          <w:p w:rsidRPr="00641C46" w:rsidR="00F44854" w:rsidP="0072061F" w:rsidRDefault="00F44854">
            <w:pPr>
              <w:rPr>
                <w:rFonts w:ascii="Calibri" w:hAnsi="Calibri"/>
                <w:b/>
                <w:bCs/>
                <w:sz w:val="22"/>
                <w:szCs w:val="22"/>
                <w:lang w:eastAsia="hr-HR"/>
              </w:rPr>
            </w:pPr>
            <w:r w:rsidRPr="00641C46">
              <w:rPr>
                <w:rFonts w:ascii="Calibri" w:hAnsi="Calibri"/>
                <w:b/>
                <w:bCs/>
                <w:sz w:val="22"/>
                <w:szCs w:val="22"/>
                <w:lang w:eastAsia="hr-HR"/>
              </w:rPr>
              <w:t>Red.br.</w:t>
            </w:r>
          </w:p>
        </w:tc>
        <w:tc>
          <w:tcPr>
            <w:tcW w:w="5960" w:type="dxa"/>
            <w:tcBorders>
              <w:top w:val="single" w:color="auto" w:sz="8" w:space="0"/>
              <w:left w:val="nil"/>
              <w:bottom w:val="single" w:color="auto" w:sz="8" w:space="0"/>
              <w:right w:val="single" w:color="auto" w:sz="8" w:space="0"/>
            </w:tcBorders>
            <w:shd w:val="clear" w:color="auto" w:fill="auto"/>
            <w:noWrap/>
            <w:vAlign w:val="bottom"/>
            <w:hideMark/>
          </w:tcPr>
          <w:p w:rsidRPr="00641C46" w:rsidR="00F44854" w:rsidP="0072061F" w:rsidRDefault="00F44854">
            <w:pPr>
              <w:jc w:val="center"/>
              <w:rPr>
                <w:rFonts w:ascii="Calibri" w:hAnsi="Calibri"/>
                <w:b/>
                <w:bCs/>
                <w:sz w:val="22"/>
                <w:szCs w:val="22"/>
                <w:lang w:eastAsia="hr-HR"/>
              </w:rPr>
            </w:pPr>
            <w:r w:rsidRPr="00641C46">
              <w:rPr>
                <w:rFonts w:ascii="Calibri" w:hAnsi="Calibri"/>
                <w:b/>
                <w:bCs/>
                <w:sz w:val="22"/>
                <w:szCs w:val="22"/>
                <w:lang w:eastAsia="hr-HR"/>
              </w:rPr>
              <w:t>VRSTA PRIHODA</w:t>
            </w:r>
          </w:p>
        </w:tc>
        <w:tc>
          <w:tcPr>
            <w:tcW w:w="1560" w:type="dxa"/>
            <w:tcBorders>
              <w:top w:val="single" w:color="auto" w:sz="8" w:space="0"/>
              <w:left w:val="nil"/>
              <w:bottom w:val="single" w:color="auto" w:sz="8" w:space="0"/>
              <w:right w:val="single" w:color="auto" w:sz="8" w:space="0"/>
            </w:tcBorders>
            <w:shd w:val="clear" w:color="auto" w:fill="auto"/>
            <w:noWrap/>
            <w:vAlign w:val="bottom"/>
            <w:hideMark/>
          </w:tcPr>
          <w:p w:rsidRPr="00641C46" w:rsidR="00F44854" w:rsidP="0072061F" w:rsidRDefault="00F44854">
            <w:pPr>
              <w:jc w:val="center"/>
              <w:rPr>
                <w:rFonts w:ascii="Calibri" w:hAnsi="Calibri"/>
                <w:b/>
                <w:bCs/>
                <w:sz w:val="22"/>
                <w:szCs w:val="22"/>
                <w:lang w:eastAsia="hr-HR"/>
              </w:rPr>
            </w:pPr>
            <w:r w:rsidRPr="00641C46">
              <w:rPr>
                <w:rFonts w:ascii="Calibri" w:hAnsi="Calibri"/>
                <w:b/>
                <w:bCs/>
                <w:sz w:val="22"/>
                <w:szCs w:val="22"/>
                <w:lang w:eastAsia="hr-HR"/>
              </w:rPr>
              <w:t>IZNOS</w:t>
            </w:r>
          </w:p>
        </w:tc>
      </w:tr>
      <w:tr w:rsidRPr="009D4DE7" w:rsidR="00F44854" w:rsidTr="0072061F">
        <w:trPr>
          <w:trHeight w:val="300"/>
        </w:trPr>
        <w:tc>
          <w:tcPr>
            <w:tcW w:w="1480" w:type="dxa"/>
            <w:tcBorders>
              <w:top w:val="nil"/>
              <w:left w:val="single" w:color="auto" w:sz="4" w:space="0"/>
              <w:bottom w:val="single" w:color="auto" w:sz="4" w:space="0"/>
              <w:right w:val="single" w:color="auto" w:sz="4" w:space="0"/>
            </w:tcBorders>
            <w:shd w:val="clear" w:color="auto" w:fill="auto"/>
            <w:noWrap/>
            <w:vAlign w:val="bottom"/>
            <w:hideMark/>
          </w:tcPr>
          <w:p w:rsidRPr="00641C46" w:rsidR="00F44854" w:rsidP="0072061F" w:rsidRDefault="00F44854">
            <w:pPr>
              <w:jc w:val="center"/>
              <w:rPr>
                <w:rFonts w:ascii="Calibri" w:hAnsi="Calibri"/>
                <w:sz w:val="22"/>
                <w:szCs w:val="22"/>
                <w:lang w:eastAsia="hr-HR"/>
              </w:rPr>
            </w:pPr>
            <w:r w:rsidRPr="00641C46">
              <w:rPr>
                <w:rFonts w:ascii="Calibri" w:hAnsi="Calibri"/>
                <w:sz w:val="22"/>
                <w:szCs w:val="22"/>
                <w:lang w:eastAsia="hr-HR"/>
              </w:rPr>
              <w:t> </w:t>
            </w:r>
          </w:p>
        </w:tc>
        <w:tc>
          <w:tcPr>
            <w:tcW w:w="5960" w:type="dxa"/>
            <w:tcBorders>
              <w:top w:val="nil"/>
              <w:left w:val="nil"/>
              <w:bottom w:val="single" w:color="auto" w:sz="4" w:space="0"/>
              <w:right w:val="single" w:color="auto" w:sz="4" w:space="0"/>
            </w:tcBorders>
            <w:shd w:val="clear" w:color="auto" w:fill="auto"/>
            <w:noWrap/>
            <w:vAlign w:val="bottom"/>
            <w:hideMark/>
          </w:tcPr>
          <w:p w:rsidRPr="00641C46" w:rsidR="00F44854" w:rsidP="0072061F" w:rsidRDefault="00F44854">
            <w:pPr>
              <w:jc w:val="center"/>
              <w:rPr>
                <w:rFonts w:ascii="Calibri" w:hAnsi="Calibri"/>
                <w:sz w:val="22"/>
                <w:szCs w:val="22"/>
                <w:lang w:eastAsia="hr-HR"/>
              </w:rPr>
            </w:pPr>
            <w:r w:rsidRPr="00641C46">
              <w:rPr>
                <w:rFonts w:ascii="Calibri" w:hAnsi="Calibri"/>
                <w:sz w:val="22"/>
                <w:szCs w:val="22"/>
                <w:lang w:eastAsia="hr-HR"/>
              </w:rPr>
              <w:t> </w:t>
            </w:r>
          </w:p>
        </w:tc>
        <w:tc>
          <w:tcPr>
            <w:tcW w:w="1560" w:type="dxa"/>
            <w:tcBorders>
              <w:top w:val="nil"/>
              <w:left w:val="nil"/>
              <w:bottom w:val="single" w:color="auto" w:sz="4" w:space="0"/>
              <w:right w:val="single" w:color="auto" w:sz="4" w:space="0"/>
            </w:tcBorders>
            <w:shd w:val="clear" w:color="auto" w:fill="auto"/>
            <w:noWrap/>
            <w:vAlign w:val="bottom"/>
            <w:hideMark/>
          </w:tcPr>
          <w:p w:rsidRPr="00641C46" w:rsidR="00F44854" w:rsidP="0072061F" w:rsidRDefault="00F44854">
            <w:pPr>
              <w:jc w:val="center"/>
              <w:rPr>
                <w:rFonts w:ascii="Calibri" w:hAnsi="Calibri"/>
                <w:sz w:val="22"/>
                <w:szCs w:val="22"/>
                <w:lang w:eastAsia="hr-HR"/>
              </w:rPr>
            </w:pPr>
            <w:r w:rsidRPr="00641C46">
              <w:rPr>
                <w:rFonts w:ascii="Calibri" w:hAnsi="Calibri"/>
                <w:sz w:val="22"/>
                <w:szCs w:val="22"/>
                <w:lang w:eastAsia="hr-HR"/>
              </w:rPr>
              <w:t> kn</w:t>
            </w:r>
          </w:p>
        </w:tc>
      </w:tr>
      <w:tr w:rsidRPr="009D4DE7" w:rsidR="00F44854" w:rsidTr="0072061F">
        <w:trPr>
          <w:trHeight w:val="300"/>
        </w:trPr>
        <w:tc>
          <w:tcPr>
            <w:tcW w:w="1480" w:type="dxa"/>
            <w:tcBorders>
              <w:top w:val="nil"/>
              <w:left w:val="single" w:color="auto" w:sz="4" w:space="0"/>
              <w:bottom w:val="single" w:color="auto" w:sz="4" w:space="0"/>
              <w:right w:val="single" w:color="auto" w:sz="4" w:space="0"/>
            </w:tcBorders>
            <w:shd w:val="clear" w:color="auto" w:fill="auto"/>
            <w:noWrap/>
            <w:vAlign w:val="bottom"/>
            <w:hideMark/>
          </w:tcPr>
          <w:p w:rsidRPr="00971CDF" w:rsidR="00F44854" w:rsidP="0072061F" w:rsidRDefault="004A4096">
            <w:pPr>
              <w:jc w:val="center"/>
              <w:rPr>
                <w:rFonts w:ascii="Calibri" w:hAnsi="Calibri"/>
                <w:b/>
                <w:bCs/>
                <w:sz w:val="22"/>
                <w:szCs w:val="22"/>
                <w:lang w:eastAsia="hr-HR"/>
              </w:rPr>
            </w:pPr>
            <w:r>
              <w:rPr>
                <w:rFonts w:ascii="Calibri" w:hAnsi="Calibri"/>
                <w:b/>
                <w:bCs/>
                <w:sz w:val="22"/>
                <w:szCs w:val="22"/>
                <w:lang w:eastAsia="hr-HR"/>
              </w:rPr>
              <w:t>1</w:t>
            </w:r>
          </w:p>
        </w:tc>
        <w:tc>
          <w:tcPr>
            <w:tcW w:w="5960" w:type="dxa"/>
            <w:tcBorders>
              <w:top w:val="nil"/>
              <w:left w:val="nil"/>
              <w:bottom w:val="single" w:color="auto" w:sz="4" w:space="0"/>
              <w:right w:val="single" w:color="auto" w:sz="4" w:space="0"/>
            </w:tcBorders>
            <w:shd w:val="clear" w:color="auto" w:fill="auto"/>
            <w:noWrap/>
            <w:vAlign w:val="bottom"/>
            <w:hideMark/>
          </w:tcPr>
          <w:p w:rsidRPr="00971CDF" w:rsidR="00F44854" w:rsidP="0072061F" w:rsidRDefault="00F44854">
            <w:pPr>
              <w:rPr>
                <w:rFonts w:ascii="Calibri" w:hAnsi="Calibri"/>
                <w:sz w:val="22"/>
                <w:szCs w:val="22"/>
                <w:lang w:eastAsia="hr-HR"/>
              </w:rPr>
            </w:pPr>
            <w:r>
              <w:rPr>
                <w:rFonts w:ascii="Calibri" w:hAnsi="Calibri"/>
                <w:sz w:val="22"/>
                <w:szCs w:val="22"/>
                <w:lang w:eastAsia="hr-HR"/>
              </w:rPr>
              <w:t>Dividenda</w:t>
            </w:r>
          </w:p>
        </w:tc>
        <w:tc>
          <w:tcPr>
            <w:tcW w:w="1560" w:type="dxa"/>
            <w:tcBorders>
              <w:top w:val="nil"/>
              <w:left w:val="nil"/>
              <w:bottom w:val="single" w:color="auto" w:sz="4" w:space="0"/>
              <w:right w:val="single" w:color="auto" w:sz="4" w:space="0"/>
            </w:tcBorders>
            <w:shd w:val="clear" w:color="auto" w:fill="auto"/>
            <w:noWrap/>
            <w:vAlign w:val="bottom"/>
            <w:hideMark/>
          </w:tcPr>
          <w:p w:rsidRPr="00971CDF" w:rsidR="00F44854" w:rsidP="0072061F" w:rsidRDefault="00F44854">
            <w:pPr>
              <w:jc w:val="right"/>
              <w:rPr>
                <w:rFonts w:ascii="Calibri" w:hAnsi="Calibri"/>
                <w:sz w:val="22"/>
                <w:szCs w:val="22"/>
                <w:lang w:eastAsia="hr-HR"/>
              </w:rPr>
            </w:pPr>
            <w:r>
              <w:rPr>
                <w:rFonts w:ascii="Calibri" w:hAnsi="Calibri"/>
                <w:sz w:val="22"/>
                <w:szCs w:val="22"/>
                <w:lang w:eastAsia="hr-HR"/>
              </w:rPr>
              <w:t>548,80</w:t>
            </w:r>
          </w:p>
        </w:tc>
      </w:tr>
      <w:tr w:rsidRPr="009D4DE7" w:rsidR="00F44854" w:rsidTr="0072061F">
        <w:trPr>
          <w:trHeight w:val="300"/>
        </w:trPr>
        <w:tc>
          <w:tcPr>
            <w:tcW w:w="1480" w:type="dxa"/>
            <w:tcBorders>
              <w:top w:val="nil"/>
              <w:left w:val="single" w:color="auto" w:sz="4" w:space="0"/>
              <w:bottom w:val="single" w:color="auto" w:sz="4" w:space="0"/>
              <w:right w:val="single" w:color="auto" w:sz="4" w:space="0"/>
            </w:tcBorders>
            <w:shd w:val="clear" w:color="auto" w:fill="auto"/>
            <w:noWrap/>
            <w:vAlign w:val="bottom"/>
            <w:hideMark/>
          </w:tcPr>
          <w:p w:rsidRPr="00971CDF" w:rsidR="00F44854" w:rsidP="0072061F" w:rsidRDefault="004A4096">
            <w:pPr>
              <w:jc w:val="center"/>
              <w:rPr>
                <w:rFonts w:ascii="Calibri" w:hAnsi="Calibri"/>
                <w:b/>
                <w:bCs/>
                <w:sz w:val="22"/>
                <w:szCs w:val="22"/>
                <w:lang w:eastAsia="hr-HR"/>
              </w:rPr>
            </w:pPr>
            <w:r>
              <w:rPr>
                <w:rFonts w:ascii="Calibri" w:hAnsi="Calibri"/>
                <w:b/>
                <w:bCs/>
                <w:sz w:val="22"/>
                <w:szCs w:val="22"/>
                <w:lang w:eastAsia="hr-HR"/>
              </w:rPr>
              <w:t>2</w:t>
            </w:r>
          </w:p>
        </w:tc>
        <w:tc>
          <w:tcPr>
            <w:tcW w:w="5960" w:type="dxa"/>
            <w:tcBorders>
              <w:top w:val="nil"/>
              <w:left w:val="nil"/>
              <w:bottom w:val="single" w:color="auto" w:sz="4" w:space="0"/>
              <w:right w:val="single" w:color="auto" w:sz="4" w:space="0"/>
            </w:tcBorders>
            <w:shd w:val="clear" w:color="auto" w:fill="auto"/>
            <w:noWrap/>
            <w:vAlign w:val="bottom"/>
            <w:hideMark/>
          </w:tcPr>
          <w:p w:rsidRPr="00971CDF" w:rsidR="00F44854" w:rsidP="0072061F" w:rsidRDefault="00F44854">
            <w:pPr>
              <w:rPr>
                <w:rFonts w:ascii="Calibri" w:hAnsi="Calibri"/>
                <w:sz w:val="22"/>
                <w:szCs w:val="22"/>
                <w:lang w:eastAsia="hr-HR"/>
              </w:rPr>
            </w:pPr>
            <w:r w:rsidRPr="00971CDF">
              <w:rPr>
                <w:rFonts w:ascii="Calibri" w:hAnsi="Calibri"/>
                <w:sz w:val="22"/>
                <w:szCs w:val="22"/>
                <w:lang w:eastAsia="hr-HR"/>
              </w:rPr>
              <w:t xml:space="preserve">Naplata fizičke osobe </w:t>
            </w:r>
          </w:p>
        </w:tc>
        <w:tc>
          <w:tcPr>
            <w:tcW w:w="1560" w:type="dxa"/>
            <w:tcBorders>
              <w:top w:val="nil"/>
              <w:left w:val="nil"/>
              <w:bottom w:val="single" w:color="auto" w:sz="4" w:space="0"/>
              <w:right w:val="single" w:color="auto" w:sz="4" w:space="0"/>
            </w:tcBorders>
            <w:shd w:val="clear" w:color="auto" w:fill="auto"/>
            <w:noWrap/>
            <w:vAlign w:val="bottom"/>
            <w:hideMark/>
          </w:tcPr>
          <w:p w:rsidRPr="006C69E7" w:rsidR="00F44854" w:rsidP="0072061F" w:rsidRDefault="00F44854">
            <w:pPr>
              <w:jc w:val="right"/>
              <w:rPr>
                <w:rFonts w:ascii="Calibri" w:hAnsi="Calibri"/>
                <w:sz w:val="22"/>
                <w:szCs w:val="22"/>
                <w:lang w:eastAsia="hr-HR"/>
              </w:rPr>
            </w:pPr>
            <w:r>
              <w:rPr>
                <w:rFonts w:ascii="Calibri" w:hAnsi="Calibri"/>
                <w:sz w:val="22"/>
                <w:szCs w:val="22"/>
                <w:lang w:eastAsia="hr-HR"/>
              </w:rPr>
              <w:t>285.512,31</w:t>
            </w:r>
          </w:p>
        </w:tc>
      </w:tr>
      <w:tr w:rsidRPr="009D4DE7" w:rsidR="00F44854" w:rsidTr="0072061F">
        <w:trPr>
          <w:trHeight w:val="300"/>
        </w:trPr>
        <w:tc>
          <w:tcPr>
            <w:tcW w:w="1480" w:type="dxa"/>
            <w:tcBorders>
              <w:top w:val="nil"/>
              <w:left w:val="single" w:color="auto" w:sz="4" w:space="0"/>
              <w:bottom w:val="single" w:color="auto" w:sz="4" w:space="0"/>
              <w:right w:val="single" w:color="auto" w:sz="4" w:space="0"/>
            </w:tcBorders>
            <w:shd w:val="clear" w:color="auto" w:fill="auto"/>
            <w:noWrap/>
            <w:vAlign w:val="bottom"/>
            <w:hideMark/>
          </w:tcPr>
          <w:p w:rsidRPr="00971CDF" w:rsidR="00F44854" w:rsidP="0072061F" w:rsidRDefault="004A4096">
            <w:pPr>
              <w:jc w:val="center"/>
              <w:rPr>
                <w:rFonts w:ascii="Calibri" w:hAnsi="Calibri"/>
                <w:b/>
                <w:bCs/>
                <w:sz w:val="22"/>
                <w:szCs w:val="22"/>
                <w:lang w:eastAsia="hr-HR"/>
              </w:rPr>
            </w:pPr>
            <w:r>
              <w:rPr>
                <w:rFonts w:ascii="Calibri" w:hAnsi="Calibri"/>
                <w:b/>
                <w:bCs/>
                <w:sz w:val="22"/>
                <w:szCs w:val="22"/>
                <w:lang w:eastAsia="hr-HR"/>
              </w:rPr>
              <w:t>3</w:t>
            </w:r>
          </w:p>
        </w:tc>
        <w:tc>
          <w:tcPr>
            <w:tcW w:w="5960" w:type="dxa"/>
            <w:tcBorders>
              <w:top w:val="nil"/>
              <w:left w:val="nil"/>
              <w:bottom w:val="single" w:color="auto" w:sz="4" w:space="0"/>
              <w:right w:val="single" w:color="auto" w:sz="4" w:space="0"/>
            </w:tcBorders>
            <w:shd w:val="clear" w:color="auto" w:fill="auto"/>
            <w:noWrap/>
            <w:vAlign w:val="bottom"/>
            <w:hideMark/>
          </w:tcPr>
          <w:p w:rsidRPr="00971CDF" w:rsidR="00F44854" w:rsidP="0072061F" w:rsidRDefault="00F44854">
            <w:pPr>
              <w:rPr>
                <w:rFonts w:ascii="Calibri" w:hAnsi="Calibri"/>
                <w:sz w:val="22"/>
                <w:szCs w:val="22"/>
                <w:lang w:eastAsia="hr-HR"/>
              </w:rPr>
            </w:pPr>
            <w:r w:rsidRPr="00971CDF">
              <w:rPr>
                <w:rFonts w:ascii="Calibri" w:hAnsi="Calibri"/>
                <w:sz w:val="22"/>
                <w:szCs w:val="22"/>
                <w:lang w:eastAsia="hr-HR"/>
              </w:rPr>
              <w:t>Naplate pravne osobe</w:t>
            </w:r>
          </w:p>
        </w:tc>
        <w:tc>
          <w:tcPr>
            <w:tcW w:w="1560" w:type="dxa"/>
            <w:tcBorders>
              <w:top w:val="nil"/>
              <w:left w:val="nil"/>
              <w:bottom w:val="single" w:color="auto" w:sz="4" w:space="0"/>
              <w:right w:val="single" w:color="auto" w:sz="4" w:space="0"/>
            </w:tcBorders>
            <w:shd w:val="clear" w:color="auto" w:fill="auto"/>
            <w:noWrap/>
            <w:vAlign w:val="bottom"/>
            <w:hideMark/>
          </w:tcPr>
          <w:p w:rsidRPr="006C69E7" w:rsidR="00F44854" w:rsidP="0072061F" w:rsidRDefault="00F44854">
            <w:pPr>
              <w:jc w:val="right"/>
              <w:rPr>
                <w:rFonts w:ascii="Calibri" w:hAnsi="Calibri"/>
                <w:sz w:val="22"/>
                <w:szCs w:val="22"/>
                <w:lang w:eastAsia="hr-HR"/>
              </w:rPr>
            </w:pPr>
            <w:r>
              <w:rPr>
                <w:rFonts w:ascii="Calibri" w:hAnsi="Calibri"/>
                <w:sz w:val="22"/>
                <w:szCs w:val="22"/>
                <w:lang w:eastAsia="hr-HR"/>
              </w:rPr>
              <w:t>216.652,11</w:t>
            </w:r>
          </w:p>
        </w:tc>
      </w:tr>
      <w:tr w:rsidRPr="009D4DE7" w:rsidR="00F44854" w:rsidTr="0072061F">
        <w:trPr>
          <w:trHeight w:val="300"/>
        </w:trPr>
        <w:tc>
          <w:tcPr>
            <w:tcW w:w="1480" w:type="dxa"/>
            <w:tcBorders>
              <w:top w:val="nil"/>
              <w:left w:val="single" w:color="auto" w:sz="4" w:space="0"/>
              <w:bottom w:val="single" w:color="auto" w:sz="4" w:space="0"/>
              <w:right w:val="single" w:color="auto" w:sz="4" w:space="0"/>
            </w:tcBorders>
            <w:shd w:val="clear" w:color="auto" w:fill="auto"/>
            <w:noWrap/>
            <w:vAlign w:val="bottom"/>
            <w:hideMark/>
          </w:tcPr>
          <w:p w:rsidRPr="00971CDF" w:rsidR="00F44854" w:rsidP="0072061F" w:rsidRDefault="004A4096">
            <w:pPr>
              <w:jc w:val="center"/>
              <w:rPr>
                <w:rFonts w:ascii="Calibri" w:hAnsi="Calibri"/>
                <w:b/>
                <w:bCs/>
                <w:sz w:val="22"/>
                <w:szCs w:val="22"/>
                <w:lang w:eastAsia="hr-HR"/>
              </w:rPr>
            </w:pPr>
            <w:r>
              <w:rPr>
                <w:rFonts w:ascii="Calibri" w:hAnsi="Calibri"/>
                <w:b/>
                <w:bCs/>
                <w:sz w:val="22"/>
                <w:szCs w:val="22"/>
                <w:lang w:eastAsia="hr-HR"/>
              </w:rPr>
              <w:t>4</w:t>
            </w:r>
          </w:p>
        </w:tc>
        <w:tc>
          <w:tcPr>
            <w:tcW w:w="5960" w:type="dxa"/>
            <w:tcBorders>
              <w:top w:val="nil"/>
              <w:left w:val="nil"/>
              <w:bottom w:val="single" w:color="auto" w:sz="4" w:space="0"/>
              <w:right w:val="single" w:color="auto" w:sz="4" w:space="0"/>
            </w:tcBorders>
            <w:shd w:val="clear" w:color="auto" w:fill="auto"/>
            <w:noWrap/>
            <w:vAlign w:val="bottom"/>
            <w:hideMark/>
          </w:tcPr>
          <w:p w:rsidRPr="00971CDF" w:rsidR="00F44854" w:rsidP="0072061F" w:rsidRDefault="00F44854">
            <w:pPr>
              <w:rPr>
                <w:rFonts w:ascii="Calibri" w:hAnsi="Calibri"/>
                <w:sz w:val="22"/>
                <w:szCs w:val="22"/>
                <w:lang w:eastAsia="hr-HR"/>
              </w:rPr>
            </w:pPr>
            <w:r w:rsidRPr="00971CDF">
              <w:rPr>
                <w:rFonts w:ascii="Calibri" w:hAnsi="Calibri"/>
                <w:sz w:val="22"/>
                <w:szCs w:val="22"/>
                <w:lang w:eastAsia="hr-HR"/>
              </w:rPr>
              <w:t xml:space="preserve">Povrat predujmova i isplate po rješenjima suda </w:t>
            </w:r>
          </w:p>
        </w:tc>
        <w:tc>
          <w:tcPr>
            <w:tcW w:w="1560" w:type="dxa"/>
            <w:tcBorders>
              <w:top w:val="nil"/>
              <w:left w:val="nil"/>
              <w:bottom w:val="single" w:color="auto" w:sz="4" w:space="0"/>
              <w:right w:val="single" w:color="auto" w:sz="4" w:space="0"/>
            </w:tcBorders>
            <w:shd w:val="clear" w:color="auto" w:fill="auto"/>
            <w:noWrap/>
            <w:vAlign w:val="bottom"/>
            <w:hideMark/>
          </w:tcPr>
          <w:p w:rsidRPr="006C69E7" w:rsidR="00F44854" w:rsidP="0072061F" w:rsidRDefault="00F44854">
            <w:pPr>
              <w:jc w:val="right"/>
              <w:rPr>
                <w:rFonts w:ascii="Calibri" w:hAnsi="Calibri"/>
                <w:sz w:val="22"/>
                <w:szCs w:val="22"/>
                <w:lang w:eastAsia="hr-HR"/>
              </w:rPr>
            </w:pPr>
            <w:r>
              <w:rPr>
                <w:rFonts w:ascii="Calibri" w:hAnsi="Calibri"/>
                <w:sz w:val="22"/>
                <w:szCs w:val="22"/>
                <w:lang w:eastAsia="hr-HR"/>
              </w:rPr>
              <w:t>1.529,48</w:t>
            </w:r>
            <w:r w:rsidRPr="006C69E7">
              <w:rPr>
                <w:rFonts w:ascii="Calibri" w:hAnsi="Calibri"/>
                <w:sz w:val="22"/>
                <w:szCs w:val="22"/>
                <w:lang w:eastAsia="hr-HR"/>
              </w:rPr>
              <w:t xml:space="preserve"> </w:t>
            </w:r>
          </w:p>
        </w:tc>
      </w:tr>
      <w:tr w:rsidRPr="009D4DE7" w:rsidR="00F44854" w:rsidTr="0072061F">
        <w:trPr>
          <w:trHeight w:val="300"/>
        </w:trPr>
        <w:tc>
          <w:tcPr>
            <w:tcW w:w="1480" w:type="dxa"/>
            <w:tcBorders>
              <w:top w:val="nil"/>
              <w:left w:val="single" w:color="auto" w:sz="4" w:space="0"/>
              <w:bottom w:val="single" w:color="auto" w:sz="4" w:space="0"/>
              <w:right w:val="single" w:color="auto" w:sz="4" w:space="0"/>
            </w:tcBorders>
            <w:shd w:val="clear" w:color="auto" w:fill="auto"/>
            <w:noWrap/>
            <w:vAlign w:val="bottom"/>
            <w:hideMark/>
          </w:tcPr>
          <w:p w:rsidRPr="00E45ED5" w:rsidR="00F44854" w:rsidP="0072061F" w:rsidRDefault="004A4096">
            <w:pPr>
              <w:jc w:val="center"/>
              <w:rPr>
                <w:rFonts w:ascii="Calibri" w:hAnsi="Calibri"/>
                <w:b/>
                <w:bCs/>
                <w:sz w:val="22"/>
                <w:szCs w:val="22"/>
                <w:lang w:eastAsia="hr-HR"/>
              </w:rPr>
            </w:pPr>
            <w:r>
              <w:rPr>
                <w:rFonts w:ascii="Calibri" w:hAnsi="Calibri"/>
                <w:b/>
                <w:bCs/>
                <w:sz w:val="22"/>
                <w:szCs w:val="22"/>
                <w:lang w:eastAsia="hr-HR"/>
              </w:rPr>
              <w:t>5</w:t>
            </w:r>
          </w:p>
        </w:tc>
        <w:tc>
          <w:tcPr>
            <w:tcW w:w="5960" w:type="dxa"/>
            <w:tcBorders>
              <w:top w:val="nil"/>
              <w:left w:val="nil"/>
              <w:bottom w:val="single" w:color="auto" w:sz="4" w:space="0"/>
              <w:right w:val="single" w:color="auto" w:sz="4" w:space="0"/>
            </w:tcBorders>
            <w:shd w:val="clear" w:color="auto" w:fill="auto"/>
            <w:noWrap/>
            <w:vAlign w:val="bottom"/>
            <w:hideMark/>
          </w:tcPr>
          <w:p w:rsidRPr="00E45ED5" w:rsidR="00F44854" w:rsidP="0072061F" w:rsidRDefault="00F44854">
            <w:pPr>
              <w:rPr>
                <w:rFonts w:ascii="Calibri" w:hAnsi="Calibri"/>
                <w:sz w:val="22"/>
                <w:szCs w:val="22"/>
                <w:lang w:eastAsia="hr-HR"/>
              </w:rPr>
            </w:pPr>
            <w:r w:rsidRPr="00E45ED5">
              <w:rPr>
                <w:rFonts w:ascii="Calibri" w:hAnsi="Calibri"/>
                <w:sz w:val="22"/>
                <w:szCs w:val="22"/>
                <w:lang w:eastAsia="hr-HR"/>
              </w:rPr>
              <w:t xml:space="preserve">Prodaja nekretnina </w:t>
            </w:r>
            <w:r>
              <w:rPr>
                <w:rFonts w:ascii="Calibri" w:hAnsi="Calibri"/>
                <w:sz w:val="22"/>
                <w:szCs w:val="22"/>
                <w:lang w:eastAsia="hr-HR"/>
              </w:rPr>
              <w:t>Sutla Šenkovec, k.o. Laduč</w:t>
            </w:r>
          </w:p>
        </w:tc>
        <w:tc>
          <w:tcPr>
            <w:tcW w:w="1560" w:type="dxa"/>
            <w:tcBorders>
              <w:top w:val="nil"/>
              <w:left w:val="nil"/>
              <w:bottom w:val="single" w:color="auto" w:sz="4" w:space="0"/>
              <w:right w:val="single" w:color="auto" w:sz="4" w:space="0"/>
            </w:tcBorders>
            <w:shd w:val="clear" w:color="auto" w:fill="auto"/>
            <w:noWrap/>
            <w:vAlign w:val="bottom"/>
            <w:hideMark/>
          </w:tcPr>
          <w:p w:rsidRPr="006C69E7" w:rsidR="00F44854" w:rsidP="0072061F" w:rsidRDefault="00F44854">
            <w:pPr>
              <w:jc w:val="right"/>
              <w:rPr>
                <w:rFonts w:ascii="Calibri" w:hAnsi="Calibri"/>
                <w:sz w:val="22"/>
                <w:szCs w:val="22"/>
                <w:lang w:eastAsia="hr-HR"/>
              </w:rPr>
            </w:pPr>
            <w:r>
              <w:rPr>
                <w:rFonts w:ascii="Calibri" w:hAnsi="Calibri"/>
                <w:sz w:val="22"/>
                <w:szCs w:val="22"/>
                <w:lang w:eastAsia="hr-HR"/>
              </w:rPr>
              <w:t>422.502,00</w:t>
            </w:r>
          </w:p>
        </w:tc>
      </w:tr>
      <w:tr w:rsidRPr="009D4DE7" w:rsidR="00F44854" w:rsidTr="0072061F">
        <w:trPr>
          <w:trHeight w:val="300"/>
        </w:trPr>
        <w:tc>
          <w:tcPr>
            <w:tcW w:w="1480" w:type="dxa"/>
            <w:tcBorders>
              <w:top w:val="nil"/>
              <w:left w:val="single" w:color="auto" w:sz="4" w:space="0"/>
              <w:bottom w:val="single" w:color="auto" w:sz="4" w:space="0"/>
              <w:right w:val="single" w:color="auto" w:sz="4" w:space="0"/>
            </w:tcBorders>
            <w:shd w:val="clear" w:color="auto" w:fill="auto"/>
            <w:noWrap/>
            <w:vAlign w:val="bottom"/>
            <w:hideMark/>
          </w:tcPr>
          <w:p w:rsidRPr="00E45ED5" w:rsidR="00F44854" w:rsidP="0072061F" w:rsidRDefault="004A4096">
            <w:pPr>
              <w:jc w:val="center"/>
              <w:rPr>
                <w:rFonts w:ascii="Calibri" w:hAnsi="Calibri"/>
                <w:b/>
                <w:bCs/>
                <w:sz w:val="22"/>
                <w:szCs w:val="22"/>
                <w:lang w:eastAsia="hr-HR"/>
              </w:rPr>
            </w:pPr>
            <w:r>
              <w:rPr>
                <w:rFonts w:ascii="Calibri" w:hAnsi="Calibri"/>
                <w:b/>
                <w:bCs/>
                <w:sz w:val="22"/>
                <w:szCs w:val="22"/>
                <w:lang w:eastAsia="hr-HR"/>
              </w:rPr>
              <w:t>6</w:t>
            </w:r>
          </w:p>
        </w:tc>
        <w:tc>
          <w:tcPr>
            <w:tcW w:w="5960" w:type="dxa"/>
            <w:tcBorders>
              <w:top w:val="nil"/>
              <w:left w:val="nil"/>
              <w:bottom w:val="single" w:color="auto" w:sz="4" w:space="0"/>
              <w:right w:val="single" w:color="auto" w:sz="4" w:space="0"/>
            </w:tcBorders>
            <w:shd w:val="clear" w:color="auto" w:fill="auto"/>
            <w:noWrap/>
            <w:vAlign w:val="bottom"/>
            <w:hideMark/>
          </w:tcPr>
          <w:p w:rsidRPr="00E45ED5" w:rsidR="00F44854" w:rsidP="0072061F" w:rsidRDefault="00F44854">
            <w:pPr>
              <w:rPr>
                <w:rFonts w:ascii="Calibri" w:hAnsi="Calibri"/>
                <w:sz w:val="22"/>
                <w:szCs w:val="22"/>
                <w:lang w:eastAsia="hr-HR"/>
              </w:rPr>
            </w:pPr>
            <w:r w:rsidRPr="00E45ED5">
              <w:rPr>
                <w:rFonts w:ascii="Calibri" w:hAnsi="Calibri"/>
                <w:sz w:val="22"/>
                <w:szCs w:val="22"/>
                <w:lang w:eastAsia="hr-HR"/>
              </w:rPr>
              <w:t xml:space="preserve">Prodaja </w:t>
            </w:r>
            <w:r>
              <w:rPr>
                <w:rFonts w:ascii="Calibri" w:hAnsi="Calibri"/>
                <w:sz w:val="22"/>
                <w:szCs w:val="22"/>
                <w:lang w:eastAsia="hr-HR"/>
              </w:rPr>
              <w:t>nekretnina Svetice, k.o. Pešćenica</w:t>
            </w:r>
          </w:p>
        </w:tc>
        <w:tc>
          <w:tcPr>
            <w:tcW w:w="1560" w:type="dxa"/>
            <w:tcBorders>
              <w:top w:val="nil"/>
              <w:left w:val="nil"/>
              <w:bottom w:val="single" w:color="auto" w:sz="4" w:space="0"/>
              <w:right w:val="single" w:color="auto" w:sz="4" w:space="0"/>
            </w:tcBorders>
            <w:shd w:val="clear" w:color="auto" w:fill="auto"/>
            <w:noWrap/>
            <w:vAlign w:val="bottom"/>
            <w:hideMark/>
          </w:tcPr>
          <w:p w:rsidRPr="006C69E7" w:rsidR="00F44854" w:rsidP="0072061F" w:rsidRDefault="00F44854">
            <w:pPr>
              <w:jc w:val="right"/>
              <w:rPr>
                <w:rFonts w:ascii="Calibri" w:hAnsi="Calibri"/>
                <w:sz w:val="22"/>
                <w:szCs w:val="22"/>
                <w:lang w:eastAsia="hr-HR"/>
              </w:rPr>
            </w:pPr>
            <w:r>
              <w:rPr>
                <w:rFonts w:ascii="Calibri" w:hAnsi="Calibri"/>
                <w:sz w:val="22"/>
                <w:szCs w:val="22"/>
                <w:lang w:eastAsia="hr-HR"/>
              </w:rPr>
              <w:t>69.555</w:t>
            </w:r>
            <w:r w:rsidRPr="006C69E7">
              <w:rPr>
                <w:rFonts w:ascii="Calibri" w:hAnsi="Calibri"/>
                <w:sz w:val="22"/>
                <w:szCs w:val="22"/>
                <w:lang w:eastAsia="hr-HR"/>
              </w:rPr>
              <w:t>,00</w:t>
            </w:r>
          </w:p>
        </w:tc>
      </w:tr>
      <w:tr w:rsidRPr="009D4DE7" w:rsidR="00F44854" w:rsidTr="0072061F">
        <w:trPr>
          <w:trHeight w:val="300"/>
        </w:trPr>
        <w:tc>
          <w:tcPr>
            <w:tcW w:w="1480" w:type="dxa"/>
            <w:tcBorders>
              <w:top w:val="nil"/>
              <w:left w:val="single" w:color="auto" w:sz="4" w:space="0"/>
              <w:bottom w:val="single" w:color="auto" w:sz="4" w:space="0"/>
              <w:right w:val="single" w:color="auto" w:sz="4" w:space="0"/>
            </w:tcBorders>
            <w:shd w:val="clear" w:color="auto" w:fill="auto"/>
            <w:noWrap/>
            <w:vAlign w:val="bottom"/>
            <w:hideMark/>
          </w:tcPr>
          <w:p w:rsidR="00F44854" w:rsidP="0072061F" w:rsidRDefault="004A4096">
            <w:pPr>
              <w:jc w:val="center"/>
              <w:rPr>
                <w:rFonts w:ascii="Calibri" w:hAnsi="Calibri"/>
                <w:b/>
                <w:bCs/>
                <w:sz w:val="22"/>
                <w:szCs w:val="22"/>
                <w:lang w:eastAsia="hr-HR"/>
              </w:rPr>
            </w:pPr>
            <w:r>
              <w:rPr>
                <w:rFonts w:ascii="Calibri" w:hAnsi="Calibri"/>
                <w:b/>
                <w:bCs/>
                <w:sz w:val="22"/>
                <w:szCs w:val="22"/>
                <w:lang w:eastAsia="hr-HR"/>
              </w:rPr>
              <w:t>7</w:t>
            </w:r>
            <w:r w:rsidR="00F44854">
              <w:rPr>
                <w:rFonts w:ascii="Calibri" w:hAnsi="Calibri"/>
                <w:b/>
                <w:bCs/>
                <w:sz w:val="22"/>
                <w:szCs w:val="22"/>
                <w:lang w:eastAsia="hr-HR"/>
              </w:rPr>
              <w:t>.</w:t>
            </w:r>
          </w:p>
        </w:tc>
        <w:tc>
          <w:tcPr>
            <w:tcW w:w="5960" w:type="dxa"/>
            <w:tcBorders>
              <w:top w:val="nil"/>
              <w:left w:val="nil"/>
              <w:bottom w:val="single" w:color="auto" w:sz="4" w:space="0"/>
              <w:right w:val="single" w:color="auto" w:sz="4" w:space="0"/>
            </w:tcBorders>
            <w:shd w:val="clear" w:color="auto" w:fill="auto"/>
            <w:noWrap/>
            <w:vAlign w:val="bottom"/>
            <w:hideMark/>
          </w:tcPr>
          <w:p w:rsidR="00F44854" w:rsidP="0072061F" w:rsidRDefault="004A4096">
            <w:pPr>
              <w:rPr>
                <w:rFonts w:ascii="Calibri" w:hAnsi="Calibri"/>
                <w:sz w:val="22"/>
                <w:szCs w:val="22"/>
                <w:lang w:eastAsia="hr-HR"/>
              </w:rPr>
            </w:pPr>
            <w:r>
              <w:rPr>
                <w:rFonts w:ascii="Calibri" w:hAnsi="Calibri"/>
                <w:sz w:val="22"/>
                <w:szCs w:val="22"/>
                <w:lang w:eastAsia="hr-HR"/>
              </w:rPr>
              <w:t>Priliv</w:t>
            </w:r>
            <w:r w:rsidR="00F44854">
              <w:rPr>
                <w:rFonts w:ascii="Calibri" w:hAnsi="Calibri"/>
                <w:sz w:val="22"/>
                <w:szCs w:val="22"/>
                <w:lang w:eastAsia="hr-HR"/>
              </w:rPr>
              <w:t xml:space="preserve"> kamata po računu kod banke</w:t>
            </w:r>
          </w:p>
        </w:tc>
        <w:tc>
          <w:tcPr>
            <w:tcW w:w="1560" w:type="dxa"/>
            <w:tcBorders>
              <w:top w:val="nil"/>
              <w:left w:val="nil"/>
              <w:bottom w:val="single" w:color="auto" w:sz="4" w:space="0"/>
              <w:right w:val="single" w:color="auto" w:sz="4" w:space="0"/>
            </w:tcBorders>
            <w:shd w:val="clear" w:color="auto" w:fill="auto"/>
            <w:noWrap/>
            <w:vAlign w:val="bottom"/>
            <w:hideMark/>
          </w:tcPr>
          <w:p w:rsidR="00F44854" w:rsidP="0072061F" w:rsidRDefault="00F44854">
            <w:pPr>
              <w:jc w:val="right"/>
              <w:rPr>
                <w:rFonts w:ascii="Calibri" w:hAnsi="Calibri"/>
                <w:sz w:val="22"/>
                <w:szCs w:val="22"/>
                <w:lang w:eastAsia="hr-HR"/>
              </w:rPr>
            </w:pPr>
            <w:r>
              <w:rPr>
                <w:rFonts w:ascii="Calibri" w:hAnsi="Calibri"/>
                <w:sz w:val="22"/>
                <w:szCs w:val="22"/>
                <w:lang w:eastAsia="hr-HR"/>
              </w:rPr>
              <w:t>4.492,32</w:t>
            </w:r>
          </w:p>
        </w:tc>
      </w:tr>
      <w:tr w:rsidRPr="009D4DE7" w:rsidR="00F44854" w:rsidTr="0072061F">
        <w:trPr>
          <w:trHeight w:val="300"/>
        </w:trPr>
        <w:tc>
          <w:tcPr>
            <w:tcW w:w="1480" w:type="dxa"/>
            <w:tcBorders>
              <w:top w:val="nil"/>
              <w:left w:val="single" w:color="auto" w:sz="4" w:space="0"/>
              <w:bottom w:val="single" w:color="auto" w:sz="4" w:space="0"/>
              <w:right w:val="single" w:color="auto" w:sz="4" w:space="0"/>
            </w:tcBorders>
            <w:shd w:val="clear" w:color="auto" w:fill="auto"/>
            <w:noWrap/>
            <w:vAlign w:val="bottom"/>
            <w:hideMark/>
          </w:tcPr>
          <w:p w:rsidRPr="00641C46" w:rsidR="00F44854" w:rsidP="0072061F" w:rsidRDefault="00F44854">
            <w:pPr>
              <w:rPr>
                <w:rFonts w:ascii="Calibri" w:hAnsi="Calibri"/>
                <w:b/>
                <w:bCs/>
                <w:sz w:val="22"/>
                <w:szCs w:val="22"/>
                <w:lang w:eastAsia="hr-HR"/>
              </w:rPr>
            </w:pPr>
            <w:r>
              <w:rPr>
                <w:rFonts w:ascii="Calibri" w:hAnsi="Calibri"/>
                <w:b/>
                <w:bCs/>
                <w:sz w:val="22"/>
                <w:szCs w:val="22"/>
                <w:lang w:eastAsia="hr-HR"/>
              </w:rPr>
              <w:t>UKUPNO KN</w:t>
            </w:r>
          </w:p>
        </w:tc>
        <w:tc>
          <w:tcPr>
            <w:tcW w:w="5960" w:type="dxa"/>
            <w:tcBorders>
              <w:top w:val="nil"/>
              <w:left w:val="nil"/>
              <w:bottom w:val="single" w:color="auto" w:sz="4" w:space="0"/>
              <w:right w:val="single" w:color="auto" w:sz="4" w:space="0"/>
            </w:tcBorders>
            <w:shd w:val="clear" w:color="auto" w:fill="auto"/>
            <w:noWrap/>
            <w:vAlign w:val="bottom"/>
            <w:hideMark/>
          </w:tcPr>
          <w:p w:rsidRPr="00641C46" w:rsidR="00F44854" w:rsidP="0072061F" w:rsidRDefault="00F44854">
            <w:pPr>
              <w:rPr>
                <w:rFonts w:ascii="Calibri" w:hAnsi="Calibri"/>
                <w:sz w:val="22"/>
                <w:szCs w:val="22"/>
                <w:lang w:eastAsia="hr-HR"/>
              </w:rPr>
            </w:pPr>
            <w:r w:rsidRPr="00641C46">
              <w:rPr>
                <w:rFonts w:ascii="Calibri" w:hAnsi="Calibri"/>
                <w:sz w:val="22"/>
                <w:szCs w:val="22"/>
                <w:lang w:eastAsia="hr-HR"/>
              </w:rPr>
              <w:t> </w:t>
            </w:r>
          </w:p>
        </w:tc>
        <w:tc>
          <w:tcPr>
            <w:tcW w:w="1560" w:type="dxa"/>
            <w:tcBorders>
              <w:top w:val="nil"/>
              <w:left w:val="nil"/>
              <w:bottom w:val="single" w:color="auto" w:sz="4" w:space="0"/>
              <w:right w:val="single" w:color="auto" w:sz="4" w:space="0"/>
            </w:tcBorders>
            <w:shd w:val="clear" w:color="auto" w:fill="auto"/>
            <w:noWrap/>
            <w:vAlign w:val="bottom"/>
            <w:hideMark/>
          </w:tcPr>
          <w:p w:rsidRPr="00641C46" w:rsidR="00F44854" w:rsidP="0072061F" w:rsidRDefault="00F44854">
            <w:pPr>
              <w:jc w:val="right"/>
              <w:rPr>
                <w:rFonts w:ascii="Calibri" w:hAnsi="Calibri"/>
                <w:b/>
                <w:bCs/>
                <w:sz w:val="22"/>
                <w:szCs w:val="22"/>
                <w:lang w:eastAsia="hr-HR"/>
              </w:rPr>
            </w:pPr>
            <w:r>
              <w:rPr>
                <w:rFonts w:ascii="Calibri" w:hAnsi="Calibri"/>
                <w:b/>
                <w:bCs/>
                <w:sz w:val="22"/>
                <w:szCs w:val="22"/>
                <w:lang w:eastAsia="hr-HR"/>
              </w:rPr>
              <w:t>1.000.792,02</w:t>
            </w:r>
          </w:p>
        </w:tc>
      </w:tr>
    </w:tbl>
    <w:p w:rsidR="00F44854" w:rsidP="009D4DE7" w:rsidRDefault="00F44854">
      <w:pPr>
        <w:rPr>
          <w:rFonts w:ascii="Sylfaen" w:hAnsi="Sylfaen"/>
          <w:b/>
        </w:rPr>
      </w:pPr>
    </w:p>
    <w:p w:rsidR="00EF24EB" w:rsidP="005203EB" w:rsidRDefault="00EF24EB">
      <w:pPr>
        <w:jc w:val="both"/>
        <w:rPr>
          <w:rFonts w:ascii="Sylfaen" w:hAnsi="Sylfaen"/>
        </w:rPr>
      </w:pPr>
    </w:p>
    <w:p w:rsidR="005203EB" w:rsidP="005203EB" w:rsidRDefault="00F33DE6">
      <w:pPr>
        <w:jc w:val="both"/>
        <w:rPr>
          <w:rFonts w:ascii="Sylfaen" w:hAnsi="Sylfaen"/>
        </w:rPr>
      </w:pPr>
      <w:r>
        <w:rPr>
          <w:rFonts w:ascii="Sylfaen" w:hAnsi="Sylfaen"/>
        </w:rPr>
        <w:t>Ad 3</w:t>
      </w:r>
      <w:r w:rsidR="005203EB">
        <w:rPr>
          <w:rFonts w:ascii="Sylfaen" w:hAnsi="Sylfaen"/>
        </w:rPr>
        <w:t>/ Sukladno naprijed iznesenome, predlaže se sazvati sjednicu odbora vjerovnika sa sljedećim dnevnim redom, s radi donošenja niže naznačenih odluka:</w:t>
      </w:r>
    </w:p>
    <w:p w:rsidR="00EF24EB" w:rsidP="005203EB" w:rsidRDefault="00EF24EB">
      <w:pPr>
        <w:jc w:val="both"/>
        <w:rPr>
          <w:rFonts w:ascii="Sylfaen" w:hAnsi="Sylfaen"/>
        </w:rPr>
      </w:pPr>
    </w:p>
    <w:p w:rsidR="005203EB" w:rsidP="005203EB" w:rsidRDefault="005203EB">
      <w:pPr>
        <w:jc w:val="both"/>
        <w:rPr>
          <w:rFonts w:ascii="Sylfaen" w:hAnsi="Sylfaen"/>
        </w:rPr>
      </w:pPr>
      <w:r>
        <w:rPr>
          <w:rFonts w:ascii="Sylfaen" w:hAnsi="Sylfaen"/>
        </w:rPr>
        <w:t>DNEVNI RED SJEDNICE ODBORA VJEROVNIKA</w:t>
      </w:r>
    </w:p>
    <w:p w:rsidR="005203EB" w:rsidP="005203EB" w:rsidRDefault="005203EB">
      <w:pPr>
        <w:jc w:val="both"/>
        <w:rPr>
          <w:rFonts w:ascii="Sylfaen" w:hAnsi="Sylfaen"/>
        </w:rPr>
      </w:pPr>
    </w:p>
    <w:p w:rsidR="005203EB" w:rsidP="005203EB" w:rsidRDefault="005203EB">
      <w:pPr>
        <w:jc w:val="both"/>
        <w:rPr>
          <w:rFonts w:ascii="Sylfaen" w:hAnsi="Sylfaen"/>
        </w:rPr>
      </w:pPr>
      <w:r>
        <w:rPr>
          <w:rFonts w:ascii="Sylfaen" w:hAnsi="Sylfaen"/>
        </w:rPr>
        <w:t>1. Izvješće stečajne upraviteljice o tijeku stečajnog postupka i stanju stečajne mase</w:t>
      </w:r>
    </w:p>
    <w:p w:rsidR="008E15E9" w:rsidP="005203EB" w:rsidRDefault="008E15E9">
      <w:pPr>
        <w:jc w:val="both"/>
        <w:rPr>
          <w:rFonts w:ascii="Sylfaen" w:hAnsi="Sylfaen"/>
        </w:rPr>
      </w:pPr>
      <w:r>
        <w:rPr>
          <w:rFonts w:ascii="Sylfaen" w:hAnsi="Sylfaen"/>
        </w:rPr>
        <w:t xml:space="preserve">2. Donošenje odluke o sklapanju </w:t>
      </w:r>
      <w:r w:rsidR="003A7253">
        <w:rPr>
          <w:rFonts w:ascii="Sylfaen" w:hAnsi="Sylfaen"/>
        </w:rPr>
        <w:t xml:space="preserve">sudske </w:t>
      </w:r>
      <w:r>
        <w:rPr>
          <w:rFonts w:ascii="Sylfaen" w:hAnsi="Sylfaen"/>
        </w:rPr>
        <w:t>nagodbe</w:t>
      </w:r>
      <w:r w:rsidR="00A45BD2">
        <w:rPr>
          <w:rFonts w:ascii="Sylfaen" w:hAnsi="Sylfaen"/>
        </w:rPr>
        <w:t xml:space="preserve"> u </w:t>
      </w:r>
      <w:r w:rsidR="003A7253">
        <w:rPr>
          <w:rFonts w:ascii="Sylfaen" w:hAnsi="Sylfaen"/>
        </w:rPr>
        <w:t xml:space="preserve">parničnom </w:t>
      </w:r>
      <w:r w:rsidR="00A45BD2">
        <w:rPr>
          <w:rFonts w:ascii="Sylfaen" w:hAnsi="Sylfaen"/>
        </w:rPr>
        <w:t xml:space="preserve">predmetu koji se vodi </w:t>
      </w:r>
      <w:r w:rsidR="003A7253">
        <w:rPr>
          <w:rFonts w:ascii="Sylfaen" w:hAnsi="Sylfaen"/>
        </w:rPr>
        <w:t>na tužbu Glumina banka d.</w:t>
      </w:r>
      <w:r w:rsidRPr="003A7253" w:rsidR="003A7253">
        <w:rPr>
          <w:rFonts w:ascii="Sylfaen" w:hAnsi="Sylfaen"/>
        </w:rPr>
        <w:t>d. u stečaju c/a ŽELJKO MAŽAR iz Zagreba, Samoborska cesta 136, OIB: 27507646100 i GORAN MAŽAR iz Donje Stubice,  Dubravačka 23a, OIB: 52686203363 pred Trgovačkim sudom u Zagrebu pod posl. br.: P-121/19</w:t>
      </w:r>
    </w:p>
    <w:p w:rsidR="008E15E9" w:rsidP="005203EB" w:rsidRDefault="008E15E9">
      <w:pPr>
        <w:jc w:val="both"/>
        <w:rPr>
          <w:rFonts w:ascii="Sylfaen" w:hAnsi="Sylfaen"/>
        </w:rPr>
      </w:pPr>
      <w:r>
        <w:rPr>
          <w:rFonts w:ascii="Sylfaen" w:hAnsi="Sylfaen"/>
        </w:rPr>
        <w:t xml:space="preserve">3. Donošenje odluke o </w:t>
      </w:r>
      <w:r w:rsidR="00205ED5">
        <w:rPr>
          <w:rFonts w:ascii="Sylfaen" w:hAnsi="Sylfaen"/>
        </w:rPr>
        <w:t xml:space="preserve">sklapanju nagodbe radi obustave ovrhe </w:t>
      </w:r>
      <w:r w:rsidR="003A7253">
        <w:rPr>
          <w:rFonts w:ascii="Sylfaen" w:hAnsi="Sylfaen"/>
        </w:rPr>
        <w:t xml:space="preserve">u </w:t>
      </w:r>
      <w:r w:rsidR="00F33DE6">
        <w:rPr>
          <w:rFonts w:ascii="Sylfaen" w:hAnsi="Sylfaen"/>
        </w:rPr>
        <w:t xml:space="preserve">ovršnom </w:t>
      </w:r>
      <w:r w:rsidR="003A7253">
        <w:rPr>
          <w:rFonts w:ascii="Sylfaen" w:hAnsi="Sylfaen"/>
        </w:rPr>
        <w:t xml:space="preserve">predmetu koji se vodi </w:t>
      </w:r>
      <w:r w:rsidR="00EE18F5">
        <w:rPr>
          <w:rFonts w:ascii="Sylfaen" w:hAnsi="Sylfaen"/>
        </w:rPr>
        <w:t>po</w:t>
      </w:r>
      <w:r w:rsidR="00F33DE6">
        <w:rPr>
          <w:rFonts w:ascii="Sylfaen" w:hAnsi="Sylfaen"/>
        </w:rPr>
        <w:t xml:space="preserve"> </w:t>
      </w:r>
      <w:r w:rsidR="00205ED5">
        <w:rPr>
          <w:rFonts w:ascii="Sylfaen" w:hAnsi="Sylfaen"/>
        </w:rPr>
        <w:t>prijedlog</w:t>
      </w:r>
      <w:r w:rsidR="00EE18F5">
        <w:rPr>
          <w:rFonts w:ascii="Sylfaen" w:hAnsi="Sylfaen"/>
        </w:rPr>
        <w:t>u</w:t>
      </w:r>
      <w:r w:rsidR="00205ED5">
        <w:rPr>
          <w:rFonts w:ascii="Sylfaen" w:hAnsi="Sylfaen"/>
        </w:rPr>
        <w:t xml:space="preserve"> za ovrhu</w:t>
      </w:r>
      <w:r w:rsidR="00F33DE6">
        <w:rPr>
          <w:rFonts w:ascii="Sylfaen" w:hAnsi="Sylfaen"/>
        </w:rPr>
        <w:t xml:space="preserve"> Glumina banka d.d. u stečaju c/a </w:t>
      </w:r>
      <w:r w:rsidR="00DF3160">
        <w:rPr>
          <w:rFonts w:ascii="Sylfaen" w:hAnsi="Sylfaen"/>
        </w:rPr>
        <w:t>treća osoba</w:t>
      </w:r>
      <w:r w:rsidR="00F33DE6">
        <w:rPr>
          <w:rFonts w:ascii="Sylfaen" w:hAnsi="Sylfaen"/>
        </w:rPr>
        <w:t xml:space="preserve"> </w:t>
      </w:r>
      <w:r w:rsidRPr="00F33DE6" w:rsidR="00F33DE6">
        <w:rPr>
          <w:rFonts w:ascii="Sylfaen" w:hAnsi="Sylfaen"/>
        </w:rPr>
        <w:t>ANTO IVANOVIĆ iz Samobora, Ul. kardinala Franj</w:t>
      </w:r>
      <w:r w:rsidR="00F33DE6">
        <w:rPr>
          <w:rFonts w:ascii="Sylfaen" w:hAnsi="Sylfaen"/>
        </w:rPr>
        <w:t>e Kuharića 1a, OIB: 39202089683</w:t>
      </w:r>
      <w:r w:rsidRPr="00F33DE6" w:rsidR="00F33DE6">
        <w:rPr>
          <w:rFonts w:ascii="Sylfaen" w:hAnsi="Sylfaen"/>
        </w:rPr>
        <w:t xml:space="preserve">, </w:t>
      </w:r>
      <w:r w:rsidR="003A7253">
        <w:rPr>
          <w:rFonts w:ascii="Sylfaen" w:hAnsi="Sylfaen"/>
        </w:rPr>
        <w:t xml:space="preserve">pred  </w:t>
      </w:r>
      <w:r w:rsidR="00F33DE6">
        <w:rPr>
          <w:rFonts w:ascii="Sylfaen" w:hAnsi="Sylfaen"/>
        </w:rPr>
        <w:t>Općinskim sudom</w:t>
      </w:r>
      <w:r w:rsidRPr="00444C17" w:rsidR="00F33DE6">
        <w:rPr>
          <w:rFonts w:ascii="Sylfaen" w:hAnsi="Sylfaen"/>
        </w:rPr>
        <w:t xml:space="preserve"> u Novom Zagrebu, Stalna služba u Samoboru broj</w:t>
      </w:r>
      <w:r w:rsidRPr="00F33DE6" w:rsidR="00F33DE6">
        <w:rPr>
          <w:rFonts w:ascii="Sylfaen" w:hAnsi="Sylfaen"/>
        </w:rPr>
        <w:t xml:space="preserve"> </w:t>
      </w:r>
      <w:r w:rsidRPr="00444C17" w:rsidR="00F33DE6">
        <w:rPr>
          <w:rFonts w:ascii="Sylfaen" w:hAnsi="Sylfaen"/>
        </w:rPr>
        <w:t>Pu Ovr-24816/2015</w:t>
      </w:r>
      <w:r w:rsidRPr="00F33DE6" w:rsidR="00F33DE6">
        <w:rPr>
          <w:rFonts w:ascii="Sylfaen" w:hAnsi="Sylfaen"/>
        </w:rPr>
        <w:t xml:space="preserve"> </w:t>
      </w:r>
      <w:r w:rsidRPr="00444C17" w:rsidR="00F33DE6">
        <w:rPr>
          <w:rFonts w:ascii="Sylfaen" w:hAnsi="Sylfaen"/>
        </w:rPr>
        <w:t xml:space="preserve"> </w:t>
      </w:r>
    </w:p>
    <w:p w:rsidRPr="00F33DE6" w:rsidR="008E15E9" w:rsidP="005203EB" w:rsidRDefault="008E15E9">
      <w:pPr>
        <w:jc w:val="both"/>
        <w:rPr>
          <w:rFonts w:ascii="Sylfaen" w:hAnsi="Sylfaen"/>
          <w:color w:val="FF0000"/>
        </w:rPr>
      </w:pPr>
      <w:r w:rsidRPr="00CA7A44">
        <w:rPr>
          <w:rFonts w:ascii="Sylfaen" w:hAnsi="Sylfaen"/>
        </w:rPr>
        <w:t xml:space="preserve">4. Donošenje odluke o sklapanju </w:t>
      </w:r>
      <w:r w:rsidRPr="00CA7A44" w:rsidR="00CA7A44">
        <w:rPr>
          <w:rFonts w:ascii="Sylfaen" w:hAnsi="Sylfaen"/>
        </w:rPr>
        <w:t xml:space="preserve">sudske </w:t>
      </w:r>
      <w:r w:rsidRPr="00CA7A44">
        <w:rPr>
          <w:rFonts w:ascii="Sylfaen" w:hAnsi="Sylfaen"/>
        </w:rPr>
        <w:t>nagodbe</w:t>
      </w:r>
      <w:r w:rsidRPr="00CA7A44" w:rsidR="00CA7A44">
        <w:rPr>
          <w:rFonts w:ascii="Sylfaen" w:hAnsi="Sylfaen"/>
        </w:rPr>
        <w:t xml:space="preserve"> </w:t>
      </w:r>
      <w:r w:rsidR="00CA7A44">
        <w:rPr>
          <w:rFonts w:ascii="Sylfaen" w:hAnsi="Sylfaen"/>
        </w:rPr>
        <w:t xml:space="preserve"> u predmetu Stečajna masa iza GRADSKA BANKA d.d. u stečaju, K. A. Stepinca 35, Osijek, OIB: 49147309133 c/a GLUMINA BANKA d.d. u stečaju, radi utvrđenja tražbine, koji postupak  se vodi pred Trgovačkim sudom u Zagrebu pod brojem P-593/2018</w:t>
      </w:r>
    </w:p>
    <w:p w:rsidRPr="00CA7A44" w:rsidR="008E15E9" w:rsidP="005203EB" w:rsidRDefault="008E15E9">
      <w:pPr>
        <w:jc w:val="both"/>
        <w:rPr>
          <w:rFonts w:ascii="Sylfaen" w:hAnsi="Sylfaen"/>
        </w:rPr>
      </w:pPr>
      <w:r w:rsidRPr="00CA7A44">
        <w:rPr>
          <w:rFonts w:ascii="Sylfaen" w:hAnsi="Sylfaen"/>
        </w:rPr>
        <w:t>5. Donošenje odluke o prodaji</w:t>
      </w:r>
      <w:r w:rsidRPr="00CA7A44">
        <w:rPr>
          <w:rFonts w:ascii="Sylfaen" w:hAnsi="Sylfaen"/>
          <w:bCs/>
          <w:lang w:eastAsia="hr-HR"/>
        </w:rPr>
        <w:t xml:space="preserve"> imovine stečajnog dužnika koja nije opterećena razlučnim pravom i to komplet novih instrumenata – obveznica i depozitarnih potvrda</w:t>
      </w:r>
      <w:r w:rsidRPr="00CA7A44" w:rsidR="00C0741D">
        <w:rPr>
          <w:rFonts w:ascii="Sylfaen" w:hAnsi="Sylfaen"/>
          <w:bCs/>
          <w:lang w:eastAsia="hr-HR"/>
        </w:rPr>
        <w:t xml:space="preserve"> izdane od</w:t>
      </w:r>
      <w:r w:rsidRPr="00CA7A44">
        <w:rPr>
          <w:rFonts w:ascii="Sylfaen" w:hAnsi="Sylfaen"/>
          <w:bCs/>
          <w:lang w:eastAsia="hr-HR"/>
        </w:rPr>
        <w:t xml:space="preserve"> Fortenova group TopCo B.V. – broj kompleta 215,546 ukupne nominalne vrijednosti 1.077.727,00 EUR-a odnosno 8.062.433,00 kuna, sukladno </w:t>
      </w:r>
      <w:r w:rsidRPr="00CA7A44">
        <w:rPr>
          <w:rFonts w:ascii="Sylfaen" w:hAnsi="Sylfaen"/>
        </w:rPr>
        <w:t xml:space="preserve">Nagodbi donesenoj u postupku izvanredne uprave nad Agrokor d.d. i dr. sklopljenoj pred Trgovačkim sudom u Zagrebu poslovni broj St-1138/17 dana 20. lipnja 2018. godine, unovčenjem </w:t>
      </w:r>
      <w:r w:rsidRPr="00CA7A44">
        <w:rPr>
          <w:rFonts w:ascii="Sylfaen" w:hAnsi="Sylfaen"/>
          <w:bCs/>
          <w:lang w:eastAsia="hr-HR"/>
        </w:rPr>
        <w:t>sukladno odredbama čl. 229. Stečajnog zakona</w:t>
      </w:r>
    </w:p>
    <w:p w:rsidR="005203EB" w:rsidP="00E66784" w:rsidRDefault="005203EB">
      <w:pPr>
        <w:jc w:val="both"/>
        <w:rPr>
          <w:rFonts w:ascii="Sylfaen" w:hAnsi="Sylfaen"/>
        </w:rPr>
      </w:pPr>
    </w:p>
    <w:p w:rsidR="00CA7A44" w:rsidP="008E15E9" w:rsidRDefault="00CA7A44">
      <w:pPr>
        <w:jc w:val="both"/>
        <w:rPr>
          <w:rFonts w:ascii="Sylfaen" w:hAnsi="Sylfaen"/>
        </w:rPr>
      </w:pPr>
    </w:p>
    <w:p w:rsidR="008E15E9" w:rsidP="008E15E9" w:rsidRDefault="008E15E9">
      <w:pPr>
        <w:jc w:val="both"/>
        <w:rPr>
          <w:rFonts w:ascii="Sylfaen" w:hAnsi="Sylfaen"/>
        </w:rPr>
      </w:pPr>
      <w:r>
        <w:rPr>
          <w:rFonts w:ascii="Sylfaen" w:hAnsi="Sylfaen"/>
        </w:rPr>
        <w:t>Predlaže se donijeti sljedeće ODLUKE SJEDNICE ODBORA VJEROVNIKA</w:t>
      </w:r>
    </w:p>
    <w:p w:rsidR="008E15E9" w:rsidP="008E15E9" w:rsidRDefault="008E15E9">
      <w:pPr>
        <w:jc w:val="both"/>
        <w:rPr>
          <w:rFonts w:ascii="Sylfaen" w:hAnsi="Sylfaen"/>
        </w:rPr>
      </w:pPr>
    </w:p>
    <w:p w:rsidR="008E15E9" w:rsidP="008E15E9" w:rsidRDefault="008E15E9">
      <w:pPr>
        <w:jc w:val="both"/>
        <w:rPr>
          <w:rFonts w:ascii="Sylfaen" w:hAnsi="Sylfaen"/>
        </w:rPr>
      </w:pPr>
      <w:r>
        <w:rPr>
          <w:rFonts w:ascii="Sylfaen" w:hAnsi="Sylfaen"/>
        </w:rPr>
        <w:t xml:space="preserve">1. Prihvaćaju se u cijelosti izvješća stečajne upraviteljice kao i sve poduzete radnje stečajne upraviteljice od imenovanja </w:t>
      </w:r>
    </w:p>
    <w:p w:rsidR="00DF3160" w:rsidP="00EE18F5" w:rsidRDefault="00DF3160">
      <w:pPr>
        <w:jc w:val="both"/>
        <w:rPr>
          <w:rFonts w:ascii="Sylfaen" w:hAnsi="Sylfaen"/>
          <w:color w:val="FF0000"/>
        </w:rPr>
      </w:pPr>
    </w:p>
    <w:p w:rsidRPr="00CA7A44" w:rsidR="00DF3160" w:rsidP="00DF3160" w:rsidRDefault="00DF3160">
      <w:pPr>
        <w:jc w:val="both"/>
        <w:rPr>
          <w:rFonts w:ascii="Sylfaen" w:hAnsi="Sylfaen" w:cstheme="minorHAnsi"/>
          <w:lang w:eastAsia="hr-HR"/>
        </w:rPr>
      </w:pPr>
      <w:r w:rsidRPr="00CA7A44">
        <w:rPr>
          <w:rFonts w:ascii="Sylfaen" w:hAnsi="Sylfaen"/>
        </w:rPr>
        <w:t>2. Donošenje odluke za sklapanje sudske nagodbe u predmetu</w:t>
      </w:r>
      <w:r w:rsidRPr="00654E7C">
        <w:rPr>
          <w:rFonts w:ascii="Sylfaen" w:hAnsi="Sylfaen"/>
        </w:rPr>
        <w:t xml:space="preserve"> </w:t>
      </w:r>
      <w:r w:rsidRPr="00CA7A44">
        <w:rPr>
          <w:rFonts w:ascii="Sylfaen" w:hAnsi="Sylfaen"/>
        </w:rPr>
        <w:t>GLUMINA BANKA d.d. u stečaju c/a ŽELJKO MAŽAR iz Zagreba, Samoborska cesta 136, OIB: 27507646100 i GORAN MAŽAR iz Donje Stubice,  Dubravačka 23a, OIB: 52686203363, koji postupak se vodi pred Trgovačkim sudom u Zagrebu pod posl. br.: P-121/19, VPS: 340.035,23 EUR-a, na način da "Stranke sporazumno utvrđuju da ukupno dospjelo potraživanje tužitelja GLUMINA BANKE d.d. - u stečaju, prema I/ tuženiku ŽELJKU MAŽARU, OIB: 27507646100, iz Zagreba, Samoborska cesta 136 i II/ tuženiku GORANU MAŽARU, OIB: 52686203363, iz Donje Stubice, Dubravačka 23A dalje u tekst</w:t>
      </w:r>
      <w:r w:rsidR="00654E7C">
        <w:rPr>
          <w:rFonts w:ascii="Sylfaen" w:hAnsi="Sylfaen"/>
        </w:rPr>
        <w:t>u: GORAN MAŽAR iz Donje Stubice</w:t>
      </w:r>
      <w:r w:rsidRPr="00CA7A44">
        <w:rPr>
          <w:rFonts w:ascii="Sylfaen" w:hAnsi="Sylfaen"/>
        </w:rPr>
        <w:t xml:space="preserve"> kao solidarnim dužnicima, po Ugovoru o preuzimanju duga, kratkoročnom kreditu uz valutnu klauzulu i jamstvu br. 980005 i Ugovoru o preuzimanju duga, kratkoročnom kreditu uz valutnu klauzulu i jamstvu br. 980020 iznosi 340.035,23 EUR-a (koji iznos odgovara iznosu od 665.051,11 DEM konvertiranom prema fiksnom tečaju 1 EUR=1,95583 DEM na dan 01.01.2002. g.) zajedno sa zateznom kamatom koja teče na iznos od 203.530,50 EUR-a od 26.09.2003. g. do 31.12.2005. g. u visini od 15% godišnje, od 01.01.2006. g. do 31.12.2007. g. po stopi utvrđenoj čl. 1. Uredbe o visini stope zatezne kamate u visini od 15% godišnje, od 01.01.2008. g. do 31.07.2015. g. po stopi određenoj za svako polugodište uvećanjem eskontne stope HNB-a koja je vrijedila zadnjeg dana polugodišta koje je prethodilo tekućem polugodištu za 5 postotnih poena, a od 01.08.2015. g. pa do konačne isplate po stopi koja se određuje za svako polugodište uvećanjem prosječne kamatne stope na stanja kredita odobrenih na razdoblje dulje od godine dana nefinancijskim trgovačkim društvima izračunate za referentno razdoblje koje prethodi tekućem polugodištu za tri postotna poena, sve to u kunskoj protuvrijednosti na dan isplate prema prodajnom tečaju HNB-a za valutu EUR i to </w:t>
      </w:r>
      <w:r w:rsidR="00654E7C">
        <w:rPr>
          <w:rFonts w:ascii="Sylfaen" w:hAnsi="Sylfaen"/>
        </w:rPr>
        <w:t xml:space="preserve">na način </w:t>
      </w:r>
      <w:r w:rsidRPr="00CA7A44">
        <w:rPr>
          <w:rFonts w:ascii="Sylfaen" w:hAnsi="Sylfaen"/>
        </w:rPr>
        <w:t xml:space="preserve">da </w:t>
      </w:r>
      <w:bookmarkStart w:name="_Hlk26544015" w:id="1"/>
      <w:r w:rsidRPr="00CA7A44">
        <w:rPr>
          <w:rFonts w:ascii="Sylfaen" w:hAnsi="Sylfaen"/>
        </w:rPr>
        <w:t xml:space="preserve">I/ tuženik ŽELJKO MAŽAR iz Zagreba i II/ tuženik GORAN MAŽAR iz Donje Stubice kao solidarni dužnici priznaju i dospjelu obvezu na podmirenje troška postupka tužitelju GLUMINA BANCI d.d. - u stečaju, Zagreb koji se specificira prema stanju spisa.  </w:t>
      </w:r>
      <w:bookmarkEnd w:id="1"/>
      <w:r w:rsidRPr="00CA7A44">
        <w:rPr>
          <w:rFonts w:ascii="Sylfaen" w:hAnsi="Sylfaen" w:cstheme="minorHAnsi"/>
        </w:rPr>
        <w:t>I/ tuženik ŽELJKO MAŽAR iz Zagreba i II/ tuženik GORAN MAŽAR iz Donje Stubice, Dubravačka 23A</w:t>
      </w:r>
      <w:r w:rsidRPr="00CA7A44">
        <w:rPr>
          <w:rFonts w:ascii="Sylfaen" w:hAnsi="Sylfaen" w:cstheme="minorHAnsi"/>
          <w:lang w:eastAsia="hr-HR"/>
        </w:rPr>
        <w:t xml:space="preserve"> obvezuju se solidarno isplatiti tužitelju GLUMINA BANCI d.d. - u stečaju, Zagreb iznos od 750.000,00 kn u roku od šest mjeseci od dana sklapanja sudske nagodbe i to na žiro račun tužitelja  GLUMINA BANKE d.d. - u stečaju, a nakon isplate ukupnog iznosa </w:t>
      </w:r>
      <w:bookmarkStart w:name="_Hlk26545276" w:id="2"/>
      <w:r w:rsidRPr="00CA7A44">
        <w:rPr>
          <w:rFonts w:ascii="Sylfaen" w:hAnsi="Sylfaen" w:cstheme="minorHAnsi"/>
          <w:lang w:eastAsia="hr-HR"/>
        </w:rPr>
        <w:t>od 750.000,00 kn u roku od šest mjeseci od sklapanja nagodbe</w:t>
      </w:r>
      <w:bookmarkStart w:name="_Hlk26547120" w:id="3"/>
      <w:bookmarkEnd w:id="2"/>
      <w:r w:rsidRPr="00CA7A44">
        <w:rPr>
          <w:rFonts w:ascii="Sylfaen" w:hAnsi="Sylfaen" w:cstheme="minorHAnsi"/>
          <w:lang w:eastAsia="hr-HR"/>
        </w:rPr>
        <w:t xml:space="preserve">, GLUMINA BANKA d.d. - u stečaju, Zagreb </w:t>
      </w:r>
      <w:bookmarkEnd w:id="3"/>
      <w:r w:rsidRPr="00CA7A44">
        <w:rPr>
          <w:rFonts w:ascii="Sylfaen" w:hAnsi="Sylfaen" w:cstheme="minorHAnsi"/>
          <w:lang w:eastAsia="hr-HR"/>
        </w:rPr>
        <w:t xml:space="preserve">obvezuje se izdati brisovno očitovanje, odnosno ovlastiti I/tuženika </w:t>
      </w:r>
      <w:r w:rsidRPr="00CA7A44">
        <w:rPr>
          <w:rFonts w:ascii="Sylfaen" w:hAnsi="Sylfaen"/>
        </w:rPr>
        <w:t xml:space="preserve">ŽELJKA MAŽARA iz Zagreba da ishodi brisanje prva vlasništva s imena tužitelja </w:t>
      </w:r>
      <w:r w:rsidRPr="00CA7A44">
        <w:rPr>
          <w:rFonts w:ascii="Sylfaen" w:hAnsi="Sylfaen" w:cstheme="minorHAnsi"/>
          <w:lang w:eastAsia="hr-HR"/>
        </w:rPr>
        <w:t xml:space="preserve">GLUMINA BANKA d.d. - u stečaju, Zagreb </w:t>
      </w:r>
      <w:r w:rsidRPr="00CA7A44">
        <w:rPr>
          <w:rFonts w:ascii="Sylfaen" w:hAnsi="Sylfaen"/>
        </w:rPr>
        <w:t xml:space="preserve">i upis prava vlasništva na ime I/tuženika ŽELJKA MAŽARA iz Zagreba, na nekretnini upisanoj u zemljišne knjige Općinskog građanskog suda u Zagrebu, Zemljišnoknjižni odjel Zagreb, zk. ul. 2024, k.o. Stenjevec,  kč.br. 280/5 - kuća u Zagrebu, Samoborska br. 136, tlocrtne površine 48 </w:t>
      </w:r>
      <w:r w:rsidRPr="00CA7A44">
        <w:rPr>
          <w:rFonts w:ascii="Sylfaen" w:hAnsi="Sylfaen"/>
        </w:rPr>
        <w:lastRenderedPageBreak/>
        <w:t>čm i dvorište, površine 138 čhv, a na kojoj je nekretnini u korist tužitelja</w:t>
      </w:r>
      <w:r w:rsidRPr="00CA7A44">
        <w:rPr>
          <w:rFonts w:ascii="Sylfaen" w:hAnsi="Sylfaen" w:cstheme="minorHAnsi"/>
          <w:lang w:eastAsia="hr-HR"/>
        </w:rPr>
        <w:t xml:space="preserve"> GLUMINA BANKE d.d. - u stečaju, Zagreb</w:t>
      </w:r>
      <w:r w:rsidRPr="00CA7A44">
        <w:rPr>
          <w:rFonts w:ascii="Sylfaen" w:hAnsi="Sylfaen"/>
        </w:rPr>
        <w:t xml:space="preserve"> izvršen prijenos vlasništva radi osiguranja. </w:t>
      </w:r>
      <w:r w:rsidRPr="00CA7A44">
        <w:rPr>
          <w:rFonts w:ascii="Sylfaen" w:hAnsi="Sylfaen" w:cstheme="minorHAnsi"/>
          <w:lang w:eastAsia="hr-HR"/>
        </w:rPr>
        <w:t xml:space="preserve">U suprotnom, za slučaj da iznos od 750.000,00 kn ne bude plaćen u roku od šest mjeseci, GLUMINA BANKA d.d. - u stečaju, Zagreb nije vezana onim što je u ovoj nagodbi navedeno kao njena obveza, te </w:t>
      </w:r>
      <w:r w:rsidRPr="00CA7A44">
        <w:rPr>
          <w:rFonts w:ascii="Sylfaen" w:hAnsi="Sylfaen" w:cstheme="minorHAnsi"/>
        </w:rPr>
        <w:t>I/ tuženik ŽELJKO MAŽAR iz Zagreba i II/ tuženik GORAN MAŽAR iz Donje Stubice, Dubravačka 23A</w:t>
      </w:r>
      <w:r w:rsidRPr="00CA7A44">
        <w:rPr>
          <w:rFonts w:ascii="Sylfaen" w:hAnsi="Sylfaen" w:cstheme="minorHAnsi"/>
          <w:lang w:eastAsia="hr-HR"/>
        </w:rPr>
        <w:t xml:space="preserve">, </w:t>
      </w:r>
      <w:r w:rsidRPr="00CA7A44">
        <w:rPr>
          <w:rFonts w:ascii="Sylfaen" w:hAnsi="Sylfaen" w:cstheme="minorHAnsi"/>
        </w:rPr>
        <w:t xml:space="preserve">ovlašćuju tužitelja GLUMINA BANKU d.d. u stečaju, Zagreb da temeljem nagodbe, </w:t>
      </w:r>
      <w:r w:rsidRPr="00CA7A44">
        <w:rPr>
          <w:rFonts w:ascii="Sylfaen" w:hAnsi="Sylfaen" w:cstheme="minorHAnsi"/>
          <w:lang w:eastAsia="hr-HR"/>
        </w:rPr>
        <w:t xml:space="preserve">naplati </w:t>
      </w:r>
      <w:r w:rsidRPr="00CA7A44">
        <w:rPr>
          <w:rFonts w:ascii="Sylfaen" w:hAnsi="Sylfaen" w:cstheme="minorHAnsi"/>
        </w:rPr>
        <w:t xml:space="preserve">cjelokupno </w:t>
      </w:r>
      <w:r w:rsidRPr="00CA7A44">
        <w:rPr>
          <w:rFonts w:ascii="Sylfaen" w:hAnsi="Sylfaen" w:cstheme="minorHAnsi"/>
          <w:lang w:eastAsia="hr-HR"/>
        </w:rPr>
        <w:t xml:space="preserve">svoje potraživanje kako je ono naznačeno u uvodu nagodbe  te </w:t>
      </w:r>
      <w:r w:rsidRPr="00CA7A44">
        <w:rPr>
          <w:rFonts w:ascii="Sylfaen" w:hAnsi="Sylfaen" w:cstheme="minorHAnsi"/>
        </w:rPr>
        <w:t>provede ovrhu za cjelokupni preostali neplaćeni iznos uvećano za pripadajuće kamate i to na cjelokupnoj imovini I/ tuženika ŽELJKA MAŽARA iz Zagreba i II/ tuženika GORANA MAŽARA iz Donje Stubice, Dubravačka 23A kao solidarnih dužnika</w:t>
      </w:r>
      <w:r w:rsidRPr="00CA7A44">
        <w:rPr>
          <w:rFonts w:ascii="Sylfaen" w:hAnsi="Sylfaen"/>
        </w:rPr>
        <w:t>"</w:t>
      </w:r>
      <w:r w:rsidRPr="00CA7A44">
        <w:rPr>
          <w:rFonts w:ascii="Sylfaen" w:hAnsi="Sylfaen" w:cstheme="minorHAnsi"/>
        </w:rPr>
        <w:t xml:space="preserve">  </w:t>
      </w:r>
    </w:p>
    <w:p w:rsidR="008E15E9" w:rsidP="008E15E9" w:rsidRDefault="008E15E9">
      <w:pPr>
        <w:jc w:val="both"/>
        <w:rPr>
          <w:rFonts w:ascii="Sylfaen" w:hAnsi="Sylfaen"/>
        </w:rPr>
      </w:pPr>
    </w:p>
    <w:p w:rsidR="00DF3160" w:rsidP="00DF3160" w:rsidRDefault="00DF3160">
      <w:pPr>
        <w:jc w:val="both"/>
        <w:rPr>
          <w:rFonts w:ascii="Sylfaen" w:hAnsi="Sylfaen"/>
        </w:rPr>
      </w:pPr>
      <w:r>
        <w:rPr>
          <w:rFonts w:ascii="Sylfaen" w:hAnsi="Sylfaen"/>
        </w:rPr>
        <w:t>3</w:t>
      </w:r>
      <w:r w:rsidRPr="00DF3160">
        <w:rPr>
          <w:rFonts w:ascii="Sylfaen" w:hAnsi="Sylfaen"/>
        </w:rPr>
        <w:t xml:space="preserve">. Donošenje odluke za sklapanje nagodbe u predmetu  GLUMINA BANKA d.d. u stečaju c/a treća osoba ANTO IVANOVIĆ iz Samobora, Ul. kardinala Franje Kuharića 1a, OIB: 39202089683  koji se vodi pred Općinskim sudom u Novom Zagrebu, Stalna služba u Samoboru broj Pu Ovr-24816/2015  (Općinski sud u Samoboru  Ovr-1666/11), na nekretninama ovršenika,   pod uvjetom da ovršenik </w:t>
      </w:r>
      <w:r w:rsidR="00654E7C">
        <w:rPr>
          <w:rFonts w:ascii="Sylfaen" w:hAnsi="Sylfaen"/>
        </w:rPr>
        <w:t xml:space="preserve">prethodno </w:t>
      </w:r>
      <w:r w:rsidRPr="00DF3160">
        <w:rPr>
          <w:rFonts w:ascii="Sylfaen" w:hAnsi="Sylfaen"/>
        </w:rPr>
        <w:t>naknadi stečajnom dužniku ovršne i parnične troškove postupka te sudske pristojbe u cijelosti, a stečajni dužnik odustane od naplate potraživanja na imovini ovršenika u cijelosti.</w:t>
      </w:r>
    </w:p>
    <w:p w:rsidRPr="00DF3160" w:rsidR="00DF3160" w:rsidP="00DF3160" w:rsidRDefault="00DF3160">
      <w:pPr>
        <w:jc w:val="both"/>
        <w:rPr>
          <w:rFonts w:ascii="Sylfaen" w:hAnsi="Sylfaen"/>
        </w:rPr>
      </w:pPr>
    </w:p>
    <w:p w:rsidR="00EF24EB" w:rsidP="00654E7C" w:rsidRDefault="00DF3160">
      <w:pPr>
        <w:jc w:val="both"/>
        <w:rPr>
          <w:rFonts w:ascii="Sylfaen" w:hAnsi="Sylfaen"/>
        </w:rPr>
      </w:pPr>
      <w:r>
        <w:rPr>
          <w:rFonts w:ascii="Sylfaen" w:hAnsi="Sylfaen"/>
        </w:rPr>
        <w:t xml:space="preserve">4. </w:t>
      </w:r>
      <w:r w:rsidRPr="00DF3160">
        <w:rPr>
          <w:rFonts w:ascii="Sylfaen" w:hAnsi="Sylfaen"/>
        </w:rPr>
        <w:t>Donošenje odluke z</w:t>
      </w:r>
      <w:r w:rsidR="00CA7A44">
        <w:rPr>
          <w:rFonts w:ascii="Sylfaen" w:hAnsi="Sylfaen"/>
        </w:rPr>
        <w:t xml:space="preserve">a sklapanje nagodbe u predmetu Stečajna masa iza GRADSKA BANKA d.d. u stečaju, K. A. Stepinca 35, Osijek, OIB: 49147309133 c/a GLUMINA BANKA d.d. u stečaju, radi utvrđenja tražbine, koji postupak  se vodi pred Trgovačkim sudom u Zagrebu pod brojem P-593/2018, na način da tužitelj povuče tužbu i tužbeni zahtjev uz naknadu </w:t>
      </w:r>
      <w:r w:rsidR="00187463">
        <w:rPr>
          <w:rFonts w:ascii="Sylfaen" w:hAnsi="Sylfaen"/>
        </w:rPr>
        <w:t>parničnog</w:t>
      </w:r>
      <w:r w:rsidR="00CA7A44">
        <w:rPr>
          <w:rFonts w:ascii="Sylfaen" w:hAnsi="Sylfaen"/>
        </w:rPr>
        <w:t xml:space="preserve"> troška</w:t>
      </w:r>
      <w:r w:rsidR="00654E7C">
        <w:rPr>
          <w:rFonts w:ascii="Sylfaen" w:hAnsi="Sylfaen"/>
        </w:rPr>
        <w:t xml:space="preserve"> stečajnom dužniku</w:t>
      </w:r>
      <w:r w:rsidR="00CA7A44">
        <w:rPr>
          <w:rFonts w:ascii="Sylfaen" w:hAnsi="Sylfaen"/>
        </w:rPr>
        <w:t xml:space="preserve"> u iznosu od 40.000,00 kn.</w:t>
      </w:r>
    </w:p>
    <w:p w:rsidRPr="00187463" w:rsidR="008E15E9" w:rsidP="008E15E9" w:rsidRDefault="008E15E9">
      <w:pPr>
        <w:spacing w:before="240"/>
        <w:jc w:val="both"/>
        <w:rPr>
          <w:rFonts w:ascii="Sylfaen" w:hAnsi="Sylfaen"/>
          <w:bCs/>
          <w:lang w:eastAsia="hr-HR"/>
        </w:rPr>
      </w:pPr>
      <w:r w:rsidRPr="00187463">
        <w:rPr>
          <w:rFonts w:ascii="Sylfaen" w:hAnsi="Sylfaen"/>
        </w:rPr>
        <w:t xml:space="preserve">5. </w:t>
      </w:r>
      <w:r w:rsidRPr="00187463">
        <w:rPr>
          <w:rFonts w:ascii="Sylfaen" w:hAnsi="Sylfaen"/>
          <w:bCs/>
          <w:lang w:eastAsia="hr-HR"/>
        </w:rPr>
        <w:t xml:space="preserve">Imovina stečajnog dužnika koja nije opterećena razlučnim pravom i to komplet novih instrumenata – obveznica i depozitarnih potvrda </w:t>
      </w:r>
      <w:r w:rsidRPr="00187463" w:rsidR="00C0741D">
        <w:rPr>
          <w:rFonts w:ascii="Sylfaen" w:hAnsi="Sylfaen"/>
          <w:bCs/>
          <w:lang w:eastAsia="hr-HR"/>
        </w:rPr>
        <w:t xml:space="preserve">izdane od </w:t>
      </w:r>
      <w:r w:rsidRPr="00187463">
        <w:rPr>
          <w:rFonts w:ascii="Sylfaen" w:hAnsi="Sylfaen"/>
          <w:bCs/>
          <w:lang w:eastAsia="hr-HR"/>
        </w:rPr>
        <w:t xml:space="preserve">Fortenova group TopCo B.V. – broj kompleta 215,546 ukupne nominalne vrijednosti 1.077.727,00 EUR-a odnosno 8.062.433,00 kuna, sukladno </w:t>
      </w:r>
      <w:r w:rsidRPr="00187463">
        <w:rPr>
          <w:rFonts w:ascii="Sylfaen" w:hAnsi="Sylfaen"/>
        </w:rPr>
        <w:t xml:space="preserve">Nagodbi donesenoj u postupku izvanredne uprave nad Agrokor d.d. i dr. sklopljenoj pred Trgovačkim sudom u Zagrebu poslovni broj St-1138/17 dana 20. lipnja 2018. godine, </w:t>
      </w:r>
      <w:r w:rsidRPr="00187463">
        <w:rPr>
          <w:rFonts w:ascii="Sylfaen" w:hAnsi="Sylfaen"/>
          <w:bCs/>
          <w:lang w:eastAsia="hr-HR"/>
        </w:rPr>
        <w:t>unovčiti će se sukladno odre</w:t>
      </w:r>
      <w:r w:rsidRPr="00187463" w:rsidR="00E4463E">
        <w:rPr>
          <w:rFonts w:ascii="Sylfaen" w:hAnsi="Sylfaen"/>
          <w:bCs/>
          <w:lang w:eastAsia="hr-HR"/>
        </w:rPr>
        <w:t xml:space="preserve">dbama čl. 229. Stečajnog zakona </w:t>
      </w:r>
      <w:r w:rsidRPr="00187463">
        <w:rPr>
          <w:rFonts w:ascii="Sylfaen" w:hAnsi="Sylfaen"/>
          <w:bCs/>
          <w:lang w:eastAsia="hr-HR"/>
        </w:rPr>
        <w:t>po početnoj cijeni u visini 60% nominalne vrijednosti kompleta novih instrumenata – broj komplta 215,546 odnosno po početnoj cijeni od</w:t>
      </w:r>
      <w:r w:rsidRPr="00187463" w:rsidR="00E4463E">
        <w:rPr>
          <w:rFonts w:ascii="Sylfaen" w:hAnsi="Sylfaen"/>
          <w:bCs/>
          <w:lang w:eastAsia="hr-HR"/>
        </w:rPr>
        <w:t xml:space="preserve"> 4.837.459,80  kn</w:t>
      </w:r>
      <w:r w:rsidRPr="00187463">
        <w:rPr>
          <w:rFonts w:ascii="Sylfaen" w:hAnsi="Sylfaen"/>
          <w:bCs/>
          <w:lang w:eastAsia="hr-HR"/>
        </w:rPr>
        <w:t xml:space="preserve">. Unovčenje će se provoditi objavom oglasa o prodaji imovine na stranicama Visokog trgovačkog suda Republike Hrvatske i stranicama Sudačke mreže, prikupljanjem pisanih ponuda pred javnim bilježnikom, najpovoljnijem ponuđaču i to na način da se početna cijena utvrdi u iznosu od </w:t>
      </w:r>
      <w:r w:rsidRPr="00187463" w:rsidR="00E4463E">
        <w:rPr>
          <w:rFonts w:ascii="Sylfaen" w:hAnsi="Sylfaen"/>
          <w:bCs/>
          <w:lang w:eastAsia="hr-HR"/>
        </w:rPr>
        <w:t xml:space="preserve">4.837.459,80 kn, </w:t>
      </w:r>
      <w:r w:rsidRPr="00187463">
        <w:rPr>
          <w:rFonts w:ascii="Sylfaen" w:hAnsi="Sylfaen"/>
          <w:bCs/>
          <w:lang w:eastAsia="hr-HR"/>
        </w:rPr>
        <w:t>a za slučaj da komplet novih instrumenata – obveznica i depozitarnih potvrda – broj komplta 215,546  ne bude prodan pri prvom oglašenom roku za prikupljanje pisanih ponuda da se cijena umanjuje na drugom i svakom sljedećem prikupljanju ponuda za 15% u odnosu na prethodnu cijenu.</w:t>
      </w:r>
    </w:p>
    <w:p w:rsidRPr="00187463" w:rsidR="005203EB" w:rsidP="00E66784" w:rsidRDefault="005203EB">
      <w:pPr>
        <w:jc w:val="both"/>
        <w:rPr>
          <w:rFonts w:ascii="Sylfaen" w:hAnsi="Sylfaen"/>
        </w:rPr>
      </w:pPr>
    </w:p>
    <w:p w:rsidRPr="00187463" w:rsidR="005203EB" w:rsidP="00E66784" w:rsidRDefault="005203EB">
      <w:pPr>
        <w:jc w:val="both"/>
        <w:rPr>
          <w:rFonts w:ascii="Sylfaen" w:hAnsi="Sylfaen"/>
        </w:rPr>
      </w:pPr>
    </w:p>
    <w:p w:rsidRPr="004C629D" w:rsidR="0063367F" w:rsidP="00B03FA7" w:rsidRDefault="0063367F">
      <w:pPr>
        <w:ind w:left="3600" w:firstLine="720"/>
        <w:jc w:val="both"/>
        <w:rPr>
          <w:rFonts w:ascii="Sylfaen" w:hAnsi="Sylfaen"/>
        </w:rPr>
      </w:pPr>
      <w:r w:rsidRPr="004C629D">
        <w:rPr>
          <w:rFonts w:ascii="Sylfaen" w:hAnsi="Sylfaen"/>
        </w:rPr>
        <w:lastRenderedPageBreak/>
        <w:t xml:space="preserve">Za </w:t>
      </w:r>
      <w:r w:rsidRPr="004C629D" w:rsidR="00781EA0">
        <w:rPr>
          <w:rFonts w:ascii="Sylfaen" w:hAnsi="Sylfaen"/>
        </w:rPr>
        <w:t>GLUMINA BANKA</w:t>
      </w:r>
      <w:r w:rsidRPr="004C629D" w:rsidR="00B03FA7">
        <w:rPr>
          <w:rFonts w:ascii="Sylfaen" w:hAnsi="Sylfaen"/>
        </w:rPr>
        <w:t xml:space="preserve">  d.d. u stečaju</w:t>
      </w:r>
      <w:r w:rsidRPr="004C629D">
        <w:rPr>
          <w:rFonts w:ascii="Sylfaen" w:hAnsi="Sylfaen"/>
        </w:rPr>
        <w:t xml:space="preserve"> </w:t>
      </w:r>
    </w:p>
    <w:p w:rsidRPr="004C629D" w:rsidR="00686BB2" w:rsidP="00200D9D" w:rsidRDefault="00781EA0">
      <w:pPr>
        <w:ind w:left="3600" w:firstLine="720"/>
        <w:jc w:val="both"/>
        <w:rPr>
          <w:rFonts w:ascii="Sylfaen" w:hAnsi="Sylfaen"/>
          <w:sz w:val="22"/>
          <w:szCs w:val="22"/>
        </w:rPr>
      </w:pPr>
      <w:r w:rsidRPr="004C629D">
        <w:rPr>
          <w:rFonts w:ascii="Sylfaen" w:hAnsi="Sylfaen"/>
        </w:rPr>
        <w:t>stečajna upraviteljica</w:t>
      </w:r>
      <w:r w:rsidRPr="004C629D" w:rsidR="0063367F">
        <w:rPr>
          <w:rFonts w:ascii="Sylfaen" w:hAnsi="Sylfaen"/>
        </w:rPr>
        <w:t xml:space="preserve"> Anamaria Ivanković</w:t>
      </w:r>
      <w:r w:rsidRPr="004C629D" w:rsidR="0063367F">
        <w:rPr>
          <w:rFonts w:ascii="Sylfaen" w:hAnsi="Sylfaen"/>
          <w:sz w:val="22"/>
          <w:szCs w:val="22"/>
        </w:rPr>
        <w:tab/>
      </w:r>
    </w:p>
    <w:p w:rsidR="00874E70" w:rsidP="006448E9" w:rsidRDefault="00874E70">
      <w:pPr>
        <w:jc w:val="both"/>
        <w:rPr>
          <w:rFonts w:ascii="Sylfaen" w:hAnsi="Sylfaen"/>
        </w:rPr>
      </w:pPr>
    </w:p>
    <w:p w:rsidRPr="003124A4" w:rsidR="00E17ED3" w:rsidP="007A3627" w:rsidRDefault="006448E9">
      <w:pPr>
        <w:jc w:val="both"/>
        <w:rPr>
          <w:rFonts w:ascii="Sylfaen" w:hAnsi="Sylfaen"/>
        </w:rPr>
      </w:pPr>
      <w:r w:rsidRPr="004C629D">
        <w:rPr>
          <w:rFonts w:ascii="Sylfaen" w:hAnsi="Sylfaen"/>
        </w:rPr>
        <w:t xml:space="preserve">U Zagrebu, </w:t>
      </w:r>
      <w:r w:rsidR="001D384F">
        <w:rPr>
          <w:rFonts w:ascii="Sylfaen" w:hAnsi="Sylfaen"/>
        </w:rPr>
        <w:t>0</w:t>
      </w:r>
      <w:r w:rsidR="00CA7A44">
        <w:rPr>
          <w:rFonts w:ascii="Sylfaen" w:hAnsi="Sylfaen"/>
        </w:rPr>
        <w:t>6</w:t>
      </w:r>
      <w:r w:rsidR="001D384F">
        <w:rPr>
          <w:rFonts w:ascii="Sylfaen" w:hAnsi="Sylfaen"/>
        </w:rPr>
        <w:t>.12</w:t>
      </w:r>
      <w:r w:rsidR="009F4032">
        <w:rPr>
          <w:rFonts w:ascii="Sylfaen" w:hAnsi="Sylfaen"/>
        </w:rPr>
        <w:t>.2019</w:t>
      </w:r>
      <w:r w:rsidRPr="004C629D">
        <w:rPr>
          <w:rFonts w:ascii="Sylfaen" w:hAnsi="Sylfaen"/>
        </w:rPr>
        <w:t xml:space="preserve">. god.                                                                </w:t>
      </w:r>
    </w:p>
    <w:sectPr w:rsidRPr="003124A4" w:rsidR="00E17ED3" w:rsidSect="0029358B">
      <w:footerReference w:type="default" r:id="rId18"/>
      <w:pgSz w:w="12240" w:h="15840"/>
      <w:pgMar w:top="1440" w:right="1325" w:bottom="1440" w:left="1276" w:header="708" w:footer="708" w:gutter="0"/>
      <w:cols w:space="708"/>
      <w:docGrid w:linePitch="360"/>
    </w:sectPr>
  </w:body>
</w:document>
</file>

<file path=word/endnotes.xml><?xml version="1.0" encoding="utf-8"?>
<w:endnote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0C7FCD" w:rsidP="0029358B" w:rsidRDefault="000C7FCD">
      <w:r>
        <w:separator/>
      </w:r>
    </w:p>
  </w:endnote>
  <w:endnote w:type="continuationSeparator" w:id="0">
    <w:p w:rsidR="000C7FCD" w:rsidP="0029358B" w:rsidRDefault="000C7FCD">
      <w:r>
        <w:continuationSeparator/>
      </w:r>
    </w:p>
  </w:endnote>
</w:endnotes>
</file>

<file path=word/fontTable.xml><?xml version="1.0" encoding="utf-8"?>
<w:font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A00002EF" w:usb1="4000207B" w:usb2="00000000" w:usb3="00000000" w:csb0="0000019F" w:csb1="00000000"/>
  </w:font>
  <w:font w:name="Calibri">
    <w:panose1 w:val="020F0502020204030204"/>
    <w:charset w:val="EE"/>
    <w:family w:val="swiss"/>
    <w:pitch w:val="variable"/>
    <w:sig w:usb0="E00002FF" w:usb1="4000ACFF" w:usb2="00000001" w:usb3="00000000" w:csb0="0000019F" w:csb1="00000000"/>
  </w:font>
  <w:font w:name="Sylfaen">
    <w:panose1 w:val="010A0502050306030303"/>
    <w:charset w:val="EE"/>
    <w:family w:val="roman"/>
    <w:pitch w:val="variable"/>
    <w:sig w:usb0="040006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Times-NewRoman">
    <w:altName w:val="Times New Roman"/>
    <w:charset w:val="00"/>
    <w:family w:val="auto"/>
    <w:pitch w:val="default"/>
  </w:font>
  <w:font w:name="Arial">
    <w:panose1 w:val="020B0604020202020204"/>
    <w:charset w:val="EE"/>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HR-Arial">
    <w:altName w:val="Courier New"/>
    <w:charset w:val="00"/>
    <w:family w:val="swiss"/>
    <w:pitch w:val="variable"/>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19823820"/>
      <w:docPartObj>
        <w:docPartGallery w:val="Page Numbers (Bottom of Page)"/>
        <w:docPartUnique/>
      </w:docPartObj>
    </w:sdtPr>
    <w:sdtEndPr/>
    <w:sdtContent>
      <w:sdt>
        <w:sdtPr>
          <w:id w:val="-399524585"/>
          <w:docPartObj>
            <w:docPartGallery w:val="Page Numbers (Top of Page)"/>
            <w:docPartUnique/>
          </w:docPartObj>
        </w:sdtPr>
        <w:sdtEndPr/>
        <w:sdtContent>
          <w:p w:rsidR="00DF3160" w:rsidRDefault="00DF3160">
            <w:pPr>
              <w:pStyle w:val="Podnoje"/>
              <w:jc w:val="right"/>
            </w:pPr>
            <w:r>
              <w:rPr>
                <w:lang w:val="hr-HR"/>
              </w:rPr>
              <w:t xml:space="preserve">Stranica </w:t>
            </w:r>
            <w:r>
              <w:rPr>
                <w:b/>
                <w:bCs/>
              </w:rPr>
              <w:fldChar w:fldCharType="begin"/>
            </w:r>
            <w:r>
              <w:rPr>
                <w:b/>
                <w:bCs/>
              </w:rPr>
              <w:instrText>PAGE</w:instrText>
            </w:r>
            <w:r>
              <w:rPr>
                <w:b/>
                <w:bCs/>
              </w:rPr>
              <w:fldChar w:fldCharType="separate"/>
            </w:r>
            <w:r w:rsidR="004D6C6C">
              <w:rPr>
                <w:b/>
                <w:bCs/>
                <w:noProof/>
              </w:rPr>
              <w:t>17</w:t>
            </w:r>
            <w:r>
              <w:rPr>
                <w:b/>
                <w:bCs/>
              </w:rPr>
              <w:fldChar w:fldCharType="end"/>
            </w:r>
            <w:r>
              <w:rPr>
                <w:lang w:val="hr-HR"/>
              </w:rPr>
              <w:t xml:space="preserve"> od </w:t>
            </w:r>
            <w:r>
              <w:rPr>
                <w:b/>
                <w:bCs/>
              </w:rPr>
              <w:fldChar w:fldCharType="begin"/>
            </w:r>
            <w:r>
              <w:rPr>
                <w:b/>
                <w:bCs/>
              </w:rPr>
              <w:instrText>NUMPAGES</w:instrText>
            </w:r>
            <w:r>
              <w:rPr>
                <w:b/>
                <w:bCs/>
              </w:rPr>
              <w:fldChar w:fldCharType="separate"/>
            </w:r>
            <w:r w:rsidR="004D6C6C">
              <w:rPr>
                <w:b/>
                <w:bCs/>
                <w:noProof/>
              </w:rPr>
              <w:t>17</w:t>
            </w:r>
            <w:r>
              <w:rPr>
                <w:b/>
                <w:bCs/>
              </w:rPr>
              <w:fldChar w:fldCharType="end"/>
            </w:r>
          </w:p>
        </w:sdtContent>
      </w:sdt>
    </w:sdtContent>
  </w:sdt>
  <w:p w:rsidRPr="001D7479" w:rsidR="00DF3160" w:rsidP="001D7479" w:rsidRDefault="00DF3160">
    <w:pPr>
      <w:pStyle w:val="Podnoje"/>
    </w:pPr>
  </w:p>
</w:ftr>
</file>

<file path=word/footnotes.xml><?xml version="1.0" encoding="utf-8"?>
<w:footnote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0C7FCD" w:rsidP="0029358B" w:rsidRDefault="000C7FCD">
      <w:r>
        <w:separator/>
      </w:r>
    </w:p>
  </w:footnote>
  <w:footnote w:type="continuationSeparator" w:id="0">
    <w:p w:rsidR="000C7FCD" w:rsidP="0029358B" w:rsidRDefault="000C7FCD">
      <w:r>
        <w:continuationSeparator/>
      </w:r>
    </w:p>
  </w:footnote>
</w:footnotes>
</file>

<file path=word/numbering.xml><?xml version="1.0" encoding="utf-8"?>
<w:numbering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D30A7D"/>
    <w:multiLevelType w:val="hybridMultilevel"/>
    <w:tmpl w:val="177A1F3C"/>
    <w:lvl w:ilvl="0" w:tplc="041A0001">
      <w:start w:val="1"/>
      <w:numFmt w:val="bullet"/>
      <w:lvlText w:val=""/>
      <w:lvlJc w:val="left"/>
      <w:pPr>
        <w:ind w:left="720" w:hanging="360"/>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
    <w:nsid w:val="14CE5AD8"/>
    <w:multiLevelType w:val="hybridMultilevel"/>
    <w:tmpl w:val="F4702A4E"/>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2">
    <w:nsid w:val="240E647C"/>
    <w:multiLevelType w:val="hybridMultilevel"/>
    <w:tmpl w:val="3FAAD9F4"/>
    <w:lvl w:ilvl="0" w:tplc="EEF27BF0">
      <w:numFmt w:val="bullet"/>
      <w:lvlText w:val="-"/>
      <w:lvlJc w:val="left"/>
      <w:pPr>
        <w:ind w:left="720" w:hanging="360"/>
      </w:pPr>
      <w:rPr>
        <w:rFonts w:hint="default" w:ascii="Calibri Light" w:hAnsi="Calibri Light" w:eastAsia="Times New Roman" w:cs="Times New Roman"/>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start w:val="1"/>
      <w:numFmt w:val="bullet"/>
      <w:lvlText w:val="o"/>
      <w:lvlJc w:val="left"/>
      <w:pPr>
        <w:ind w:left="3600" w:hanging="360"/>
      </w:pPr>
      <w:rPr>
        <w:rFonts w:hint="default" w:ascii="Courier New" w:hAnsi="Courier New" w:cs="Courier New"/>
      </w:rPr>
    </w:lvl>
    <w:lvl w:ilvl="5" w:tplc="041A0005">
      <w:start w:val="1"/>
      <w:numFmt w:val="bullet"/>
      <w:lvlText w:val=""/>
      <w:lvlJc w:val="left"/>
      <w:pPr>
        <w:ind w:left="4320" w:hanging="360"/>
      </w:pPr>
      <w:rPr>
        <w:rFonts w:hint="default" w:ascii="Wingdings" w:hAnsi="Wingdings"/>
      </w:rPr>
    </w:lvl>
    <w:lvl w:ilvl="6" w:tplc="041A0001">
      <w:start w:val="1"/>
      <w:numFmt w:val="bullet"/>
      <w:lvlText w:val=""/>
      <w:lvlJc w:val="left"/>
      <w:pPr>
        <w:ind w:left="5040" w:hanging="360"/>
      </w:pPr>
      <w:rPr>
        <w:rFonts w:hint="default" w:ascii="Symbol" w:hAnsi="Symbol"/>
      </w:rPr>
    </w:lvl>
    <w:lvl w:ilvl="7" w:tplc="041A0003">
      <w:start w:val="1"/>
      <w:numFmt w:val="bullet"/>
      <w:lvlText w:val="o"/>
      <w:lvlJc w:val="left"/>
      <w:pPr>
        <w:ind w:left="5760" w:hanging="360"/>
      </w:pPr>
      <w:rPr>
        <w:rFonts w:hint="default" w:ascii="Courier New" w:hAnsi="Courier New" w:cs="Courier New"/>
      </w:rPr>
    </w:lvl>
    <w:lvl w:ilvl="8" w:tplc="041A0005">
      <w:start w:val="1"/>
      <w:numFmt w:val="bullet"/>
      <w:lvlText w:val=""/>
      <w:lvlJc w:val="left"/>
      <w:pPr>
        <w:ind w:left="6480" w:hanging="360"/>
      </w:pPr>
      <w:rPr>
        <w:rFonts w:hint="default" w:ascii="Wingdings" w:hAnsi="Wingdings"/>
      </w:rPr>
    </w:lvl>
  </w:abstractNum>
  <w:abstractNum w:abstractNumId="3">
    <w:nsid w:val="48577A1C"/>
    <w:multiLevelType w:val="hybridMultilevel"/>
    <w:tmpl w:val="8F52D8EE"/>
    <w:lvl w:ilvl="0" w:tplc="AD6C7622">
      <w:start w:val="10"/>
      <w:numFmt w:val="bullet"/>
      <w:lvlText w:val="-"/>
      <w:lvlJc w:val="left"/>
      <w:pPr>
        <w:ind w:left="3900" w:hanging="360"/>
      </w:pPr>
      <w:rPr>
        <w:rFonts w:hint="default" w:ascii="Times New Roman" w:hAnsi="Times New Roman" w:eastAsia="Times New Roman" w:cs="Times New Roman"/>
      </w:rPr>
    </w:lvl>
    <w:lvl w:ilvl="1" w:tplc="041A0003" w:tentative="true">
      <w:start w:val="1"/>
      <w:numFmt w:val="bullet"/>
      <w:lvlText w:val="o"/>
      <w:lvlJc w:val="left"/>
      <w:pPr>
        <w:ind w:left="4620" w:hanging="360"/>
      </w:pPr>
      <w:rPr>
        <w:rFonts w:hint="default" w:ascii="Courier New" w:hAnsi="Courier New" w:cs="Courier New"/>
      </w:rPr>
    </w:lvl>
    <w:lvl w:ilvl="2" w:tplc="041A0005" w:tentative="true">
      <w:start w:val="1"/>
      <w:numFmt w:val="bullet"/>
      <w:lvlText w:val=""/>
      <w:lvlJc w:val="left"/>
      <w:pPr>
        <w:ind w:left="5340" w:hanging="360"/>
      </w:pPr>
      <w:rPr>
        <w:rFonts w:hint="default" w:ascii="Wingdings" w:hAnsi="Wingdings"/>
      </w:rPr>
    </w:lvl>
    <w:lvl w:ilvl="3" w:tplc="041A0001" w:tentative="true">
      <w:start w:val="1"/>
      <w:numFmt w:val="bullet"/>
      <w:lvlText w:val=""/>
      <w:lvlJc w:val="left"/>
      <w:pPr>
        <w:ind w:left="6060" w:hanging="360"/>
      </w:pPr>
      <w:rPr>
        <w:rFonts w:hint="default" w:ascii="Symbol" w:hAnsi="Symbol"/>
      </w:rPr>
    </w:lvl>
    <w:lvl w:ilvl="4" w:tplc="041A0003" w:tentative="true">
      <w:start w:val="1"/>
      <w:numFmt w:val="bullet"/>
      <w:lvlText w:val="o"/>
      <w:lvlJc w:val="left"/>
      <w:pPr>
        <w:ind w:left="6780" w:hanging="360"/>
      </w:pPr>
      <w:rPr>
        <w:rFonts w:hint="default" w:ascii="Courier New" w:hAnsi="Courier New" w:cs="Courier New"/>
      </w:rPr>
    </w:lvl>
    <w:lvl w:ilvl="5" w:tplc="041A0005" w:tentative="true">
      <w:start w:val="1"/>
      <w:numFmt w:val="bullet"/>
      <w:lvlText w:val=""/>
      <w:lvlJc w:val="left"/>
      <w:pPr>
        <w:ind w:left="7500" w:hanging="360"/>
      </w:pPr>
      <w:rPr>
        <w:rFonts w:hint="default" w:ascii="Wingdings" w:hAnsi="Wingdings"/>
      </w:rPr>
    </w:lvl>
    <w:lvl w:ilvl="6" w:tplc="041A0001" w:tentative="true">
      <w:start w:val="1"/>
      <w:numFmt w:val="bullet"/>
      <w:lvlText w:val=""/>
      <w:lvlJc w:val="left"/>
      <w:pPr>
        <w:ind w:left="8220" w:hanging="360"/>
      </w:pPr>
      <w:rPr>
        <w:rFonts w:hint="default" w:ascii="Symbol" w:hAnsi="Symbol"/>
      </w:rPr>
    </w:lvl>
    <w:lvl w:ilvl="7" w:tplc="041A0003" w:tentative="true">
      <w:start w:val="1"/>
      <w:numFmt w:val="bullet"/>
      <w:lvlText w:val="o"/>
      <w:lvlJc w:val="left"/>
      <w:pPr>
        <w:ind w:left="8940" w:hanging="360"/>
      </w:pPr>
      <w:rPr>
        <w:rFonts w:hint="default" w:ascii="Courier New" w:hAnsi="Courier New" w:cs="Courier New"/>
      </w:rPr>
    </w:lvl>
    <w:lvl w:ilvl="8" w:tplc="041A0005" w:tentative="true">
      <w:start w:val="1"/>
      <w:numFmt w:val="bullet"/>
      <w:lvlText w:val=""/>
      <w:lvlJc w:val="left"/>
      <w:pPr>
        <w:ind w:left="9660" w:hanging="360"/>
      </w:pPr>
      <w:rPr>
        <w:rFonts w:hint="default" w:ascii="Wingdings" w:hAnsi="Wingdings"/>
      </w:rPr>
    </w:lvl>
  </w:abstractNum>
  <w:abstractNum w:abstractNumId="4">
    <w:nsid w:val="49B01A6E"/>
    <w:multiLevelType w:val="hybridMultilevel"/>
    <w:tmpl w:val="CE3EA0BC"/>
    <w:lvl w:ilvl="0" w:tplc="C26E95FE">
      <w:start w:val="1"/>
      <w:numFmt w:val="decimal"/>
      <w:lvlText w:val="%1."/>
      <w:lvlJc w:val="left"/>
      <w:pPr>
        <w:tabs>
          <w:tab w:val="num" w:pos="785"/>
        </w:tabs>
        <w:ind w:left="785" w:hanging="360"/>
      </w:pPr>
      <w:rPr>
        <w:b w:val="false"/>
        <w:i w:val="false"/>
        <w:color w:val="auto"/>
      </w:rPr>
    </w:lvl>
    <w:lvl w:ilvl="1" w:tplc="2ADA31CE">
      <w:start w:val="1"/>
      <w:numFmt w:val="lowerLetter"/>
      <w:lvlText w:val="%2)"/>
      <w:lvlJc w:val="left"/>
      <w:pPr>
        <w:tabs>
          <w:tab w:val="num" w:pos="360"/>
        </w:tabs>
        <w:ind w:left="360" w:hanging="360"/>
      </w:pPr>
      <w:rPr>
        <w:rFonts w:hint="default"/>
      </w:rPr>
    </w:lvl>
    <w:lvl w:ilvl="2" w:tplc="04090017">
      <w:start w:val="1"/>
      <w:numFmt w:val="lowerLetter"/>
      <w:lvlText w:val="%3)"/>
      <w:lvlJc w:val="left"/>
      <w:pPr>
        <w:tabs>
          <w:tab w:val="num" w:pos="2340"/>
        </w:tabs>
        <w:ind w:left="2340" w:hanging="360"/>
      </w:pPr>
    </w:lvl>
    <w:lvl w:ilvl="3" w:tplc="14FC53A4">
      <w:start w:val="1"/>
      <w:numFmt w:val="lowerLetter"/>
      <w:lvlText w:val="%4)"/>
      <w:lvlJc w:val="left"/>
      <w:pPr>
        <w:tabs>
          <w:tab w:val="num" w:pos="360"/>
        </w:tabs>
        <w:ind w:left="360" w:hanging="360"/>
      </w:pPr>
      <w:rPr>
        <w:rFonts w:hint="default"/>
      </w:r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5">
    <w:nsid w:val="4B4F5EF0"/>
    <w:multiLevelType w:val="hybridMultilevel"/>
    <w:tmpl w:val="FEC45342"/>
    <w:lvl w:ilvl="0" w:tplc="1EE21D78">
      <w:numFmt w:val="bullet"/>
      <w:lvlText w:val="-"/>
      <w:lvlJc w:val="left"/>
      <w:pPr>
        <w:ind w:left="720" w:hanging="360"/>
      </w:pPr>
      <w:rPr>
        <w:rFonts w:hint="default" w:ascii="Calibri" w:hAnsi="Calibri" w:eastAsia="Calibri" w:cs="Calibri"/>
      </w:rPr>
    </w:lvl>
    <w:lvl w:ilvl="1" w:tplc="08090003">
      <w:start w:val="1"/>
      <w:numFmt w:val="bullet"/>
      <w:lvlText w:val="o"/>
      <w:lvlJc w:val="left"/>
      <w:pPr>
        <w:ind w:left="1440" w:hanging="360"/>
      </w:pPr>
      <w:rPr>
        <w:rFonts w:hint="default" w:ascii="Courier New" w:hAnsi="Courier New" w:cs="Courier New"/>
      </w:rPr>
    </w:lvl>
    <w:lvl w:ilvl="2" w:tplc="08090005">
      <w:start w:val="1"/>
      <w:numFmt w:val="bullet"/>
      <w:lvlText w:val=""/>
      <w:lvlJc w:val="left"/>
      <w:pPr>
        <w:ind w:left="2160" w:hanging="360"/>
      </w:pPr>
      <w:rPr>
        <w:rFonts w:hint="default" w:ascii="Wingdings" w:hAnsi="Wingdings"/>
      </w:r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6">
    <w:nsid w:val="4C3B46C0"/>
    <w:multiLevelType w:val="multilevel"/>
    <w:tmpl w:val="F54852E4"/>
    <w:lvl w:ilvl="0">
      <w:start w:val="1"/>
      <w:numFmt w:val="decimal"/>
      <w:lvlText w:val="%1."/>
      <w:lvlJc w:val="left"/>
      <w:pPr>
        <w:ind w:left="705" w:hanging="705"/>
      </w:pPr>
      <w:rPr>
        <w:rFonts w:hint="default"/>
        <w:b/>
      </w:rPr>
    </w:lvl>
    <w:lvl w:ilvl="1">
      <w:start w:val="1"/>
      <w:numFmt w:val="decimal"/>
      <w:lvlText w:val="%1.%2."/>
      <w:lvlJc w:val="left"/>
      <w:pPr>
        <w:ind w:left="720" w:hanging="720"/>
      </w:pPr>
      <w:rPr>
        <w:rFonts w:hint="default"/>
        <w:b/>
        <w:i w:val="false"/>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7">
    <w:nsid w:val="53A11D41"/>
    <w:multiLevelType w:val="hybridMultilevel"/>
    <w:tmpl w:val="6324CCF2"/>
    <w:lvl w:ilvl="0" w:tplc="DBBE8582">
      <w:numFmt w:val="bullet"/>
      <w:lvlText w:val="-"/>
      <w:lvlJc w:val="left"/>
      <w:pPr>
        <w:ind w:left="720" w:hanging="360"/>
      </w:pPr>
      <w:rPr>
        <w:rFonts w:hint="default" w:ascii="Sylfaen" w:hAnsi="Sylfae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8">
    <w:nsid w:val="58877D89"/>
    <w:multiLevelType w:val="hybridMultilevel"/>
    <w:tmpl w:val="DC381484"/>
    <w:lvl w:ilvl="0" w:tplc="041A000F">
      <w:start w:val="1"/>
      <w:numFmt w:val="decimal"/>
      <w:lvlText w:val="%1."/>
      <w:lvlJc w:val="left"/>
      <w:pPr>
        <w:ind w:left="644" w:hanging="360"/>
      </w:pPr>
    </w:lvl>
    <w:lvl w:ilvl="1" w:tplc="041A0019">
      <w:start w:val="1"/>
      <w:numFmt w:val="lowerLetter"/>
      <w:lvlText w:val="%2."/>
      <w:lvlJc w:val="left"/>
      <w:pPr>
        <w:ind w:left="1298" w:hanging="360"/>
      </w:pPr>
    </w:lvl>
    <w:lvl w:ilvl="2" w:tplc="041A001B" w:tentative="true">
      <w:start w:val="1"/>
      <w:numFmt w:val="lowerRoman"/>
      <w:lvlText w:val="%3."/>
      <w:lvlJc w:val="right"/>
      <w:pPr>
        <w:ind w:left="2018" w:hanging="180"/>
      </w:pPr>
    </w:lvl>
    <w:lvl w:ilvl="3" w:tplc="041A000F" w:tentative="true">
      <w:start w:val="1"/>
      <w:numFmt w:val="decimal"/>
      <w:lvlText w:val="%4."/>
      <w:lvlJc w:val="left"/>
      <w:pPr>
        <w:ind w:left="2738" w:hanging="360"/>
      </w:pPr>
    </w:lvl>
    <w:lvl w:ilvl="4" w:tplc="041A0019" w:tentative="true">
      <w:start w:val="1"/>
      <w:numFmt w:val="lowerLetter"/>
      <w:lvlText w:val="%5."/>
      <w:lvlJc w:val="left"/>
      <w:pPr>
        <w:ind w:left="3458" w:hanging="360"/>
      </w:pPr>
    </w:lvl>
    <w:lvl w:ilvl="5" w:tplc="041A001B" w:tentative="true">
      <w:start w:val="1"/>
      <w:numFmt w:val="lowerRoman"/>
      <w:lvlText w:val="%6."/>
      <w:lvlJc w:val="right"/>
      <w:pPr>
        <w:ind w:left="4178" w:hanging="180"/>
      </w:pPr>
    </w:lvl>
    <w:lvl w:ilvl="6" w:tplc="041A000F" w:tentative="true">
      <w:start w:val="1"/>
      <w:numFmt w:val="decimal"/>
      <w:lvlText w:val="%7."/>
      <w:lvlJc w:val="left"/>
      <w:pPr>
        <w:ind w:left="4898" w:hanging="360"/>
      </w:pPr>
    </w:lvl>
    <w:lvl w:ilvl="7" w:tplc="041A0019" w:tentative="true">
      <w:start w:val="1"/>
      <w:numFmt w:val="lowerLetter"/>
      <w:lvlText w:val="%8."/>
      <w:lvlJc w:val="left"/>
      <w:pPr>
        <w:ind w:left="5618" w:hanging="360"/>
      </w:pPr>
    </w:lvl>
    <w:lvl w:ilvl="8" w:tplc="041A001B" w:tentative="true">
      <w:start w:val="1"/>
      <w:numFmt w:val="lowerRoman"/>
      <w:lvlText w:val="%9."/>
      <w:lvlJc w:val="right"/>
      <w:pPr>
        <w:ind w:left="6338" w:hanging="180"/>
      </w:pPr>
    </w:lvl>
  </w:abstractNum>
  <w:abstractNum w:abstractNumId="9">
    <w:nsid w:val="67FC71DB"/>
    <w:multiLevelType w:val="hybridMultilevel"/>
    <w:tmpl w:val="4A7A89E4"/>
    <w:lvl w:ilvl="0" w:tplc="B17C6CCE">
      <w:start w:val="1"/>
      <w:numFmt w:val="bullet"/>
      <w:lvlText w:val=""/>
      <w:lvlJc w:val="left"/>
      <w:pPr>
        <w:ind w:left="720" w:hanging="360"/>
      </w:pPr>
      <w:rPr>
        <w:rFonts w:hint="default" w:ascii="Symbol" w:hAnsi="Symbol"/>
      </w:rPr>
    </w:lvl>
    <w:lvl w:ilvl="1" w:tplc="08090003" w:tentative="true">
      <w:start w:val="1"/>
      <w:numFmt w:val="bullet"/>
      <w:lvlText w:val="o"/>
      <w:lvlJc w:val="left"/>
      <w:pPr>
        <w:ind w:left="1440" w:hanging="360"/>
      </w:pPr>
      <w:rPr>
        <w:rFonts w:hint="default" w:ascii="Courier New" w:hAnsi="Courier New" w:cs="Courier New"/>
      </w:rPr>
    </w:lvl>
    <w:lvl w:ilvl="2" w:tplc="08090005" w:tentative="true">
      <w:start w:val="1"/>
      <w:numFmt w:val="bullet"/>
      <w:lvlText w:val=""/>
      <w:lvlJc w:val="left"/>
      <w:pPr>
        <w:ind w:left="2160" w:hanging="360"/>
      </w:pPr>
      <w:rPr>
        <w:rFonts w:hint="default" w:ascii="Wingdings" w:hAnsi="Wingdings"/>
      </w:rPr>
    </w:lvl>
    <w:lvl w:ilvl="3" w:tplc="08090001" w:tentative="true">
      <w:start w:val="1"/>
      <w:numFmt w:val="bullet"/>
      <w:lvlText w:val=""/>
      <w:lvlJc w:val="left"/>
      <w:pPr>
        <w:ind w:left="2880" w:hanging="360"/>
      </w:pPr>
      <w:rPr>
        <w:rFonts w:hint="default" w:ascii="Symbol" w:hAnsi="Symbol"/>
      </w:rPr>
    </w:lvl>
    <w:lvl w:ilvl="4" w:tplc="08090003" w:tentative="true">
      <w:start w:val="1"/>
      <w:numFmt w:val="bullet"/>
      <w:lvlText w:val="o"/>
      <w:lvlJc w:val="left"/>
      <w:pPr>
        <w:ind w:left="3600" w:hanging="360"/>
      </w:pPr>
      <w:rPr>
        <w:rFonts w:hint="default" w:ascii="Courier New" w:hAnsi="Courier New" w:cs="Courier New"/>
      </w:rPr>
    </w:lvl>
    <w:lvl w:ilvl="5" w:tplc="08090005" w:tentative="true">
      <w:start w:val="1"/>
      <w:numFmt w:val="bullet"/>
      <w:lvlText w:val=""/>
      <w:lvlJc w:val="left"/>
      <w:pPr>
        <w:ind w:left="4320" w:hanging="360"/>
      </w:pPr>
      <w:rPr>
        <w:rFonts w:hint="default" w:ascii="Wingdings" w:hAnsi="Wingdings"/>
      </w:rPr>
    </w:lvl>
    <w:lvl w:ilvl="6" w:tplc="08090001" w:tentative="true">
      <w:start w:val="1"/>
      <w:numFmt w:val="bullet"/>
      <w:lvlText w:val=""/>
      <w:lvlJc w:val="left"/>
      <w:pPr>
        <w:ind w:left="5040" w:hanging="360"/>
      </w:pPr>
      <w:rPr>
        <w:rFonts w:hint="default" w:ascii="Symbol" w:hAnsi="Symbol"/>
      </w:rPr>
    </w:lvl>
    <w:lvl w:ilvl="7" w:tplc="08090003" w:tentative="true">
      <w:start w:val="1"/>
      <w:numFmt w:val="bullet"/>
      <w:lvlText w:val="o"/>
      <w:lvlJc w:val="left"/>
      <w:pPr>
        <w:ind w:left="5760" w:hanging="360"/>
      </w:pPr>
      <w:rPr>
        <w:rFonts w:hint="default" w:ascii="Courier New" w:hAnsi="Courier New" w:cs="Courier New"/>
      </w:rPr>
    </w:lvl>
    <w:lvl w:ilvl="8" w:tplc="08090005" w:tentative="true">
      <w:start w:val="1"/>
      <w:numFmt w:val="bullet"/>
      <w:lvlText w:val=""/>
      <w:lvlJc w:val="left"/>
      <w:pPr>
        <w:ind w:left="6480" w:hanging="360"/>
      </w:pPr>
      <w:rPr>
        <w:rFonts w:hint="default" w:ascii="Wingdings" w:hAnsi="Wingdings"/>
      </w:rPr>
    </w:lvl>
  </w:abstractNum>
  <w:abstractNum w:abstractNumId="10">
    <w:nsid w:val="74DC7F62"/>
    <w:multiLevelType w:val="hybridMultilevel"/>
    <w:tmpl w:val="A4644390"/>
    <w:lvl w:ilvl="0" w:tplc="A50C30D4">
      <w:start w:val="1"/>
      <w:numFmt w:val="upperRoman"/>
      <w:lvlText w:val="%1."/>
      <w:lvlJc w:val="left"/>
      <w:pPr>
        <w:ind w:left="1428" w:hanging="72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11">
    <w:nsid w:val="7DBB474F"/>
    <w:multiLevelType w:val="hybridMultilevel"/>
    <w:tmpl w:val="3092C3F4"/>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8"/>
  </w:num>
  <w:num w:numId="2">
    <w:abstractNumId w:val="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3"/>
  </w:num>
  <w:num w:numId="5">
    <w:abstractNumId w:val="9"/>
  </w:num>
  <w:num w:numId="6">
    <w:abstractNumId w:val="11"/>
  </w:num>
  <w:num w:numId="7">
    <w:abstractNumId w:val="10"/>
  </w:num>
  <w:num w:numId="8">
    <w:abstractNumId w:val="0"/>
  </w:num>
  <w:num w:numId="9">
    <w:abstractNumId w:val="7"/>
  </w:num>
  <w:num w:numId="10">
    <w:abstractNumId w:val="2"/>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num>
  <w:numIdMacAtCleanup w:val="5"/>
</w:numbering>
</file>

<file path=word/settings.xml><?xml version="1.0" encoding="utf-8"?>
<w:setting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hdrShapeDefaults>
    <o:shapedefaults spidmax="6145"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1453"/>
    <w:rsid w:val="000029B9"/>
    <w:rsid w:val="00002F9B"/>
    <w:rsid w:val="000033E6"/>
    <w:rsid w:val="000033E8"/>
    <w:rsid w:val="00004CCC"/>
    <w:rsid w:val="00010F90"/>
    <w:rsid w:val="00013B42"/>
    <w:rsid w:val="000142FE"/>
    <w:rsid w:val="00014DAA"/>
    <w:rsid w:val="0001667B"/>
    <w:rsid w:val="00016D70"/>
    <w:rsid w:val="000175AB"/>
    <w:rsid w:val="0002024E"/>
    <w:rsid w:val="000202E7"/>
    <w:rsid w:val="000221D3"/>
    <w:rsid w:val="000249E3"/>
    <w:rsid w:val="0002785A"/>
    <w:rsid w:val="0003054A"/>
    <w:rsid w:val="0003130B"/>
    <w:rsid w:val="00031B2D"/>
    <w:rsid w:val="00032346"/>
    <w:rsid w:val="0003407B"/>
    <w:rsid w:val="00034DF3"/>
    <w:rsid w:val="00034EEC"/>
    <w:rsid w:val="00035F65"/>
    <w:rsid w:val="000427CF"/>
    <w:rsid w:val="000466DC"/>
    <w:rsid w:val="00047099"/>
    <w:rsid w:val="000525D3"/>
    <w:rsid w:val="00052C94"/>
    <w:rsid w:val="00053957"/>
    <w:rsid w:val="0005395F"/>
    <w:rsid w:val="00053993"/>
    <w:rsid w:val="000601A0"/>
    <w:rsid w:val="00061B2A"/>
    <w:rsid w:val="00061FAE"/>
    <w:rsid w:val="00067366"/>
    <w:rsid w:val="00070625"/>
    <w:rsid w:val="0007161B"/>
    <w:rsid w:val="00073701"/>
    <w:rsid w:val="00074186"/>
    <w:rsid w:val="000749C8"/>
    <w:rsid w:val="0007579B"/>
    <w:rsid w:val="00080C1F"/>
    <w:rsid w:val="00085B88"/>
    <w:rsid w:val="00086198"/>
    <w:rsid w:val="00086E81"/>
    <w:rsid w:val="00086ED2"/>
    <w:rsid w:val="00087B56"/>
    <w:rsid w:val="0009363A"/>
    <w:rsid w:val="000A02F2"/>
    <w:rsid w:val="000A182F"/>
    <w:rsid w:val="000A4509"/>
    <w:rsid w:val="000A4E3C"/>
    <w:rsid w:val="000A5D30"/>
    <w:rsid w:val="000A64EC"/>
    <w:rsid w:val="000A6E63"/>
    <w:rsid w:val="000A6E97"/>
    <w:rsid w:val="000A7595"/>
    <w:rsid w:val="000B029C"/>
    <w:rsid w:val="000B05CB"/>
    <w:rsid w:val="000B132A"/>
    <w:rsid w:val="000B1461"/>
    <w:rsid w:val="000B23EA"/>
    <w:rsid w:val="000B3E26"/>
    <w:rsid w:val="000B5410"/>
    <w:rsid w:val="000B6B99"/>
    <w:rsid w:val="000C0DEC"/>
    <w:rsid w:val="000C208D"/>
    <w:rsid w:val="000C2914"/>
    <w:rsid w:val="000C3EDA"/>
    <w:rsid w:val="000C4968"/>
    <w:rsid w:val="000C7FCD"/>
    <w:rsid w:val="000D0AD9"/>
    <w:rsid w:val="000D119F"/>
    <w:rsid w:val="000D1293"/>
    <w:rsid w:val="000D208D"/>
    <w:rsid w:val="000D3315"/>
    <w:rsid w:val="000D4A19"/>
    <w:rsid w:val="000D6D10"/>
    <w:rsid w:val="000D7222"/>
    <w:rsid w:val="000E3A56"/>
    <w:rsid w:val="000E40AB"/>
    <w:rsid w:val="000E4B1F"/>
    <w:rsid w:val="000E5683"/>
    <w:rsid w:val="000E5EF4"/>
    <w:rsid w:val="000E6FFF"/>
    <w:rsid w:val="000E7289"/>
    <w:rsid w:val="000E75F3"/>
    <w:rsid w:val="000E7916"/>
    <w:rsid w:val="000F097F"/>
    <w:rsid w:val="000F11D2"/>
    <w:rsid w:val="000F294A"/>
    <w:rsid w:val="000F58C8"/>
    <w:rsid w:val="000F7D08"/>
    <w:rsid w:val="001034DA"/>
    <w:rsid w:val="001034F3"/>
    <w:rsid w:val="00107CFB"/>
    <w:rsid w:val="00110124"/>
    <w:rsid w:val="0011024A"/>
    <w:rsid w:val="0011394B"/>
    <w:rsid w:val="00113E4D"/>
    <w:rsid w:val="001144F9"/>
    <w:rsid w:val="00116755"/>
    <w:rsid w:val="00116AD5"/>
    <w:rsid w:val="00121E79"/>
    <w:rsid w:val="0012384F"/>
    <w:rsid w:val="001271E7"/>
    <w:rsid w:val="00130403"/>
    <w:rsid w:val="00130542"/>
    <w:rsid w:val="00131DC5"/>
    <w:rsid w:val="00131FF9"/>
    <w:rsid w:val="00132236"/>
    <w:rsid w:val="00134EC5"/>
    <w:rsid w:val="00136307"/>
    <w:rsid w:val="00137022"/>
    <w:rsid w:val="00137F53"/>
    <w:rsid w:val="001450B8"/>
    <w:rsid w:val="001553A5"/>
    <w:rsid w:val="00155947"/>
    <w:rsid w:val="001564AB"/>
    <w:rsid w:val="0015660E"/>
    <w:rsid w:val="00156921"/>
    <w:rsid w:val="00156CBE"/>
    <w:rsid w:val="00157BFB"/>
    <w:rsid w:val="0016104D"/>
    <w:rsid w:val="00161119"/>
    <w:rsid w:val="00162C24"/>
    <w:rsid w:val="00164351"/>
    <w:rsid w:val="00164B21"/>
    <w:rsid w:val="001656F1"/>
    <w:rsid w:val="00165724"/>
    <w:rsid w:val="00165FFA"/>
    <w:rsid w:val="001664F3"/>
    <w:rsid w:val="001703F7"/>
    <w:rsid w:val="0017230F"/>
    <w:rsid w:val="001729C9"/>
    <w:rsid w:val="00175329"/>
    <w:rsid w:val="001778FA"/>
    <w:rsid w:val="00177FB2"/>
    <w:rsid w:val="00180A5C"/>
    <w:rsid w:val="00186CDD"/>
    <w:rsid w:val="00187463"/>
    <w:rsid w:val="001935A1"/>
    <w:rsid w:val="001955A0"/>
    <w:rsid w:val="001974FA"/>
    <w:rsid w:val="00197864"/>
    <w:rsid w:val="001A3193"/>
    <w:rsid w:val="001A3A28"/>
    <w:rsid w:val="001A401B"/>
    <w:rsid w:val="001A6D00"/>
    <w:rsid w:val="001B122A"/>
    <w:rsid w:val="001B1EC9"/>
    <w:rsid w:val="001B4587"/>
    <w:rsid w:val="001B495C"/>
    <w:rsid w:val="001B4FDA"/>
    <w:rsid w:val="001B57A2"/>
    <w:rsid w:val="001B62F4"/>
    <w:rsid w:val="001C0361"/>
    <w:rsid w:val="001C0F4A"/>
    <w:rsid w:val="001C2F81"/>
    <w:rsid w:val="001C4324"/>
    <w:rsid w:val="001C5B17"/>
    <w:rsid w:val="001C5DD7"/>
    <w:rsid w:val="001C5F44"/>
    <w:rsid w:val="001D09EB"/>
    <w:rsid w:val="001D360C"/>
    <w:rsid w:val="001D384F"/>
    <w:rsid w:val="001D437D"/>
    <w:rsid w:val="001D579E"/>
    <w:rsid w:val="001D5A02"/>
    <w:rsid w:val="001D642A"/>
    <w:rsid w:val="001D6EFB"/>
    <w:rsid w:val="001D7479"/>
    <w:rsid w:val="001E315B"/>
    <w:rsid w:val="001E4745"/>
    <w:rsid w:val="001E47A4"/>
    <w:rsid w:val="001E4D69"/>
    <w:rsid w:val="001E537E"/>
    <w:rsid w:val="001E550D"/>
    <w:rsid w:val="001E5C47"/>
    <w:rsid w:val="001E7610"/>
    <w:rsid w:val="001F290D"/>
    <w:rsid w:val="001F7AD7"/>
    <w:rsid w:val="00200D9D"/>
    <w:rsid w:val="00201D17"/>
    <w:rsid w:val="00204FEE"/>
    <w:rsid w:val="00205ED5"/>
    <w:rsid w:val="0020605B"/>
    <w:rsid w:val="002061F0"/>
    <w:rsid w:val="00206D81"/>
    <w:rsid w:val="00211DA1"/>
    <w:rsid w:val="00213185"/>
    <w:rsid w:val="002164B0"/>
    <w:rsid w:val="00216549"/>
    <w:rsid w:val="002168E7"/>
    <w:rsid w:val="00220243"/>
    <w:rsid w:val="002211A5"/>
    <w:rsid w:val="00221975"/>
    <w:rsid w:val="00221A61"/>
    <w:rsid w:val="002221D6"/>
    <w:rsid w:val="00222883"/>
    <w:rsid w:val="0022388F"/>
    <w:rsid w:val="00224BFB"/>
    <w:rsid w:val="00225704"/>
    <w:rsid w:val="00225881"/>
    <w:rsid w:val="00226089"/>
    <w:rsid w:val="0022673F"/>
    <w:rsid w:val="002309D1"/>
    <w:rsid w:val="002328F1"/>
    <w:rsid w:val="00233096"/>
    <w:rsid w:val="0023368A"/>
    <w:rsid w:val="00233B4A"/>
    <w:rsid w:val="00236565"/>
    <w:rsid w:val="00237536"/>
    <w:rsid w:val="00242624"/>
    <w:rsid w:val="0024488E"/>
    <w:rsid w:val="00244CA3"/>
    <w:rsid w:val="00244E1D"/>
    <w:rsid w:val="00247515"/>
    <w:rsid w:val="002508CD"/>
    <w:rsid w:val="00251B0B"/>
    <w:rsid w:val="00254359"/>
    <w:rsid w:val="0025490C"/>
    <w:rsid w:val="00254F2B"/>
    <w:rsid w:val="00254FB6"/>
    <w:rsid w:val="002553C9"/>
    <w:rsid w:val="002563F7"/>
    <w:rsid w:val="0025771C"/>
    <w:rsid w:val="00263B15"/>
    <w:rsid w:val="00265C95"/>
    <w:rsid w:val="00266432"/>
    <w:rsid w:val="00270870"/>
    <w:rsid w:val="0027131A"/>
    <w:rsid w:val="0027261E"/>
    <w:rsid w:val="0027399C"/>
    <w:rsid w:val="0027483D"/>
    <w:rsid w:val="0027505C"/>
    <w:rsid w:val="00276EC8"/>
    <w:rsid w:val="00280350"/>
    <w:rsid w:val="00280361"/>
    <w:rsid w:val="00280B74"/>
    <w:rsid w:val="00280C36"/>
    <w:rsid w:val="00282C3E"/>
    <w:rsid w:val="0028364E"/>
    <w:rsid w:val="0028548E"/>
    <w:rsid w:val="00292881"/>
    <w:rsid w:val="00293015"/>
    <w:rsid w:val="0029358B"/>
    <w:rsid w:val="00293DB8"/>
    <w:rsid w:val="00295D99"/>
    <w:rsid w:val="00297102"/>
    <w:rsid w:val="002A0860"/>
    <w:rsid w:val="002A1D3D"/>
    <w:rsid w:val="002A4F1B"/>
    <w:rsid w:val="002A7F0F"/>
    <w:rsid w:val="002A7FBD"/>
    <w:rsid w:val="002B04AE"/>
    <w:rsid w:val="002B057F"/>
    <w:rsid w:val="002B1883"/>
    <w:rsid w:val="002B1934"/>
    <w:rsid w:val="002B258C"/>
    <w:rsid w:val="002B44F0"/>
    <w:rsid w:val="002B4AA8"/>
    <w:rsid w:val="002C23DA"/>
    <w:rsid w:val="002C251B"/>
    <w:rsid w:val="002C5365"/>
    <w:rsid w:val="002C6411"/>
    <w:rsid w:val="002C7101"/>
    <w:rsid w:val="002D1CE8"/>
    <w:rsid w:val="002D2B6C"/>
    <w:rsid w:val="002D3135"/>
    <w:rsid w:val="002D374A"/>
    <w:rsid w:val="002D4532"/>
    <w:rsid w:val="002D6295"/>
    <w:rsid w:val="002D62AF"/>
    <w:rsid w:val="002D680C"/>
    <w:rsid w:val="002D6B8C"/>
    <w:rsid w:val="002E0DA9"/>
    <w:rsid w:val="002E143A"/>
    <w:rsid w:val="002E2168"/>
    <w:rsid w:val="002E43D0"/>
    <w:rsid w:val="002E5385"/>
    <w:rsid w:val="002E5B0D"/>
    <w:rsid w:val="002F0143"/>
    <w:rsid w:val="002F0F07"/>
    <w:rsid w:val="002F1600"/>
    <w:rsid w:val="002F190F"/>
    <w:rsid w:val="002F1DC7"/>
    <w:rsid w:val="002F208A"/>
    <w:rsid w:val="002F2B4F"/>
    <w:rsid w:val="002F607F"/>
    <w:rsid w:val="002F6951"/>
    <w:rsid w:val="00300FB2"/>
    <w:rsid w:val="00301EC4"/>
    <w:rsid w:val="003030C3"/>
    <w:rsid w:val="00304468"/>
    <w:rsid w:val="00307ADD"/>
    <w:rsid w:val="00311109"/>
    <w:rsid w:val="00311E2F"/>
    <w:rsid w:val="00311F4D"/>
    <w:rsid w:val="003124A4"/>
    <w:rsid w:val="00312686"/>
    <w:rsid w:val="003144B5"/>
    <w:rsid w:val="00314874"/>
    <w:rsid w:val="00315837"/>
    <w:rsid w:val="00315DE3"/>
    <w:rsid w:val="0031610B"/>
    <w:rsid w:val="00321253"/>
    <w:rsid w:val="00327314"/>
    <w:rsid w:val="00332F93"/>
    <w:rsid w:val="00333125"/>
    <w:rsid w:val="00333BE1"/>
    <w:rsid w:val="00333F17"/>
    <w:rsid w:val="00336579"/>
    <w:rsid w:val="003368F4"/>
    <w:rsid w:val="00340C32"/>
    <w:rsid w:val="003411BF"/>
    <w:rsid w:val="003422A5"/>
    <w:rsid w:val="003423FE"/>
    <w:rsid w:val="003433A5"/>
    <w:rsid w:val="00343581"/>
    <w:rsid w:val="00344675"/>
    <w:rsid w:val="00344694"/>
    <w:rsid w:val="00345E7A"/>
    <w:rsid w:val="003464F9"/>
    <w:rsid w:val="00347FA3"/>
    <w:rsid w:val="003521A1"/>
    <w:rsid w:val="003524BA"/>
    <w:rsid w:val="00353359"/>
    <w:rsid w:val="00353E9B"/>
    <w:rsid w:val="00354C42"/>
    <w:rsid w:val="00356B17"/>
    <w:rsid w:val="00360491"/>
    <w:rsid w:val="00362A15"/>
    <w:rsid w:val="003650F9"/>
    <w:rsid w:val="0036563A"/>
    <w:rsid w:val="003656D8"/>
    <w:rsid w:val="003659E2"/>
    <w:rsid w:val="00366455"/>
    <w:rsid w:val="0037181E"/>
    <w:rsid w:val="00371F9E"/>
    <w:rsid w:val="003721DA"/>
    <w:rsid w:val="003737C2"/>
    <w:rsid w:val="003741C6"/>
    <w:rsid w:val="003758C4"/>
    <w:rsid w:val="00376D6F"/>
    <w:rsid w:val="00376F8C"/>
    <w:rsid w:val="00380840"/>
    <w:rsid w:val="003814F3"/>
    <w:rsid w:val="00381AB7"/>
    <w:rsid w:val="0038435D"/>
    <w:rsid w:val="00386BC6"/>
    <w:rsid w:val="003928BA"/>
    <w:rsid w:val="00393AF4"/>
    <w:rsid w:val="003974C9"/>
    <w:rsid w:val="003A4164"/>
    <w:rsid w:val="003A43B2"/>
    <w:rsid w:val="003A4A23"/>
    <w:rsid w:val="003A5285"/>
    <w:rsid w:val="003A5E10"/>
    <w:rsid w:val="003A6C58"/>
    <w:rsid w:val="003A7253"/>
    <w:rsid w:val="003B080A"/>
    <w:rsid w:val="003B1716"/>
    <w:rsid w:val="003B1836"/>
    <w:rsid w:val="003B1D20"/>
    <w:rsid w:val="003B31F1"/>
    <w:rsid w:val="003B375C"/>
    <w:rsid w:val="003B405C"/>
    <w:rsid w:val="003B52C2"/>
    <w:rsid w:val="003B64E0"/>
    <w:rsid w:val="003B76E2"/>
    <w:rsid w:val="003C14FF"/>
    <w:rsid w:val="003C23CD"/>
    <w:rsid w:val="003C422D"/>
    <w:rsid w:val="003C6424"/>
    <w:rsid w:val="003C718E"/>
    <w:rsid w:val="003C7905"/>
    <w:rsid w:val="003D1871"/>
    <w:rsid w:val="003D2801"/>
    <w:rsid w:val="003D32D0"/>
    <w:rsid w:val="003D376D"/>
    <w:rsid w:val="003D4E47"/>
    <w:rsid w:val="003D5752"/>
    <w:rsid w:val="003D683E"/>
    <w:rsid w:val="003D7AB8"/>
    <w:rsid w:val="003E1E8F"/>
    <w:rsid w:val="003E3B15"/>
    <w:rsid w:val="003E7F05"/>
    <w:rsid w:val="003F11CE"/>
    <w:rsid w:val="003F1DC3"/>
    <w:rsid w:val="003F3032"/>
    <w:rsid w:val="003F61B4"/>
    <w:rsid w:val="003F68AD"/>
    <w:rsid w:val="003F711B"/>
    <w:rsid w:val="004006AB"/>
    <w:rsid w:val="00402D55"/>
    <w:rsid w:val="00403157"/>
    <w:rsid w:val="0040489C"/>
    <w:rsid w:val="004064E7"/>
    <w:rsid w:val="00406E61"/>
    <w:rsid w:val="0040779D"/>
    <w:rsid w:val="00410208"/>
    <w:rsid w:val="00410D77"/>
    <w:rsid w:val="00412DE0"/>
    <w:rsid w:val="004152B1"/>
    <w:rsid w:val="00415600"/>
    <w:rsid w:val="0042198A"/>
    <w:rsid w:val="004236FF"/>
    <w:rsid w:val="00423925"/>
    <w:rsid w:val="00424995"/>
    <w:rsid w:val="0042621C"/>
    <w:rsid w:val="00441B19"/>
    <w:rsid w:val="00441FFB"/>
    <w:rsid w:val="004424AD"/>
    <w:rsid w:val="00444C17"/>
    <w:rsid w:val="004464E1"/>
    <w:rsid w:val="0045041D"/>
    <w:rsid w:val="00450BBD"/>
    <w:rsid w:val="00451281"/>
    <w:rsid w:val="00453D95"/>
    <w:rsid w:val="00454C43"/>
    <w:rsid w:val="00454E11"/>
    <w:rsid w:val="00454E82"/>
    <w:rsid w:val="0045540D"/>
    <w:rsid w:val="00456116"/>
    <w:rsid w:val="00456910"/>
    <w:rsid w:val="00456C97"/>
    <w:rsid w:val="0045772B"/>
    <w:rsid w:val="00460B3B"/>
    <w:rsid w:val="00460F3E"/>
    <w:rsid w:val="00462344"/>
    <w:rsid w:val="00463D3A"/>
    <w:rsid w:val="00465160"/>
    <w:rsid w:val="00466963"/>
    <w:rsid w:val="004710E5"/>
    <w:rsid w:val="00471644"/>
    <w:rsid w:val="00471DEF"/>
    <w:rsid w:val="00473FA2"/>
    <w:rsid w:val="00475760"/>
    <w:rsid w:val="00477F1E"/>
    <w:rsid w:val="00480F66"/>
    <w:rsid w:val="004817D1"/>
    <w:rsid w:val="00481C46"/>
    <w:rsid w:val="00484D83"/>
    <w:rsid w:val="0048724B"/>
    <w:rsid w:val="004875EC"/>
    <w:rsid w:val="00487A3A"/>
    <w:rsid w:val="0049142E"/>
    <w:rsid w:val="00493055"/>
    <w:rsid w:val="004930B0"/>
    <w:rsid w:val="0049451A"/>
    <w:rsid w:val="00496F2F"/>
    <w:rsid w:val="00497764"/>
    <w:rsid w:val="004A1A92"/>
    <w:rsid w:val="004A4096"/>
    <w:rsid w:val="004A4598"/>
    <w:rsid w:val="004A4751"/>
    <w:rsid w:val="004A5213"/>
    <w:rsid w:val="004B4D9B"/>
    <w:rsid w:val="004B4F03"/>
    <w:rsid w:val="004B6A92"/>
    <w:rsid w:val="004B7C4C"/>
    <w:rsid w:val="004B7EE2"/>
    <w:rsid w:val="004C19C3"/>
    <w:rsid w:val="004C3465"/>
    <w:rsid w:val="004C5741"/>
    <w:rsid w:val="004C629D"/>
    <w:rsid w:val="004D1309"/>
    <w:rsid w:val="004D1DCF"/>
    <w:rsid w:val="004D401E"/>
    <w:rsid w:val="004D50AC"/>
    <w:rsid w:val="004D621E"/>
    <w:rsid w:val="004D6ACD"/>
    <w:rsid w:val="004D6C6C"/>
    <w:rsid w:val="004D7262"/>
    <w:rsid w:val="004D744D"/>
    <w:rsid w:val="004E0628"/>
    <w:rsid w:val="004E0DB0"/>
    <w:rsid w:val="004E27A7"/>
    <w:rsid w:val="004E50BB"/>
    <w:rsid w:val="004E6606"/>
    <w:rsid w:val="004E6C60"/>
    <w:rsid w:val="004E6CFC"/>
    <w:rsid w:val="004F5ED1"/>
    <w:rsid w:val="004F5F1E"/>
    <w:rsid w:val="00502DE8"/>
    <w:rsid w:val="005041E9"/>
    <w:rsid w:val="00504F64"/>
    <w:rsid w:val="005068C0"/>
    <w:rsid w:val="00510DFA"/>
    <w:rsid w:val="00510EA4"/>
    <w:rsid w:val="00511E39"/>
    <w:rsid w:val="00514B60"/>
    <w:rsid w:val="005203EB"/>
    <w:rsid w:val="0052047C"/>
    <w:rsid w:val="00520BC6"/>
    <w:rsid w:val="0052182C"/>
    <w:rsid w:val="00522186"/>
    <w:rsid w:val="005222B2"/>
    <w:rsid w:val="00522AA8"/>
    <w:rsid w:val="005233C1"/>
    <w:rsid w:val="00523731"/>
    <w:rsid w:val="00524BD8"/>
    <w:rsid w:val="005250FD"/>
    <w:rsid w:val="00527F6B"/>
    <w:rsid w:val="00530C5C"/>
    <w:rsid w:val="005314A4"/>
    <w:rsid w:val="005321D3"/>
    <w:rsid w:val="005330AE"/>
    <w:rsid w:val="00533696"/>
    <w:rsid w:val="00533949"/>
    <w:rsid w:val="00533FE0"/>
    <w:rsid w:val="005349DB"/>
    <w:rsid w:val="005457A4"/>
    <w:rsid w:val="0055043D"/>
    <w:rsid w:val="00551D2D"/>
    <w:rsid w:val="00553E9A"/>
    <w:rsid w:val="0055483E"/>
    <w:rsid w:val="00555140"/>
    <w:rsid w:val="00556490"/>
    <w:rsid w:val="00556704"/>
    <w:rsid w:val="005571CC"/>
    <w:rsid w:val="00557D53"/>
    <w:rsid w:val="005608CE"/>
    <w:rsid w:val="00561EFD"/>
    <w:rsid w:val="00564172"/>
    <w:rsid w:val="0057163E"/>
    <w:rsid w:val="00571954"/>
    <w:rsid w:val="005725E3"/>
    <w:rsid w:val="00572A90"/>
    <w:rsid w:val="00574864"/>
    <w:rsid w:val="005773F7"/>
    <w:rsid w:val="00582C77"/>
    <w:rsid w:val="00583FFD"/>
    <w:rsid w:val="00584364"/>
    <w:rsid w:val="00584803"/>
    <w:rsid w:val="00584C33"/>
    <w:rsid w:val="00586B8A"/>
    <w:rsid w:val="0058794D"/>
    <w:rsid w:val="0059046E"/>
    <w:rsid w:val="00592796"/>
    <w:rsid w:val="00592E64"/>
    <w:rsid w:val="005950E4"/>
    <w:rsid w:val="00596942"/>
    <w:rsid w:val="005A17DE"/>
    <w:rsid w:val="005A1F98"/>
    <w:rsid w:val="005A284A"/>
    <w:rsid w:val="005A34B2"/>
    <w:rsid w:val="005A46AC"/>
    <w:rsid w:val="005A4E6C"/>
    <w:rsid w:val="005A562C"/>
    <w:rsid w:val="005A61A4"/>
    <w:rsid w:val="005B1B32"/>
    <w:rsid w:val="005B1ED3"/>
    <w:rsid w:val="005B2638"/>
    <w:rsid w:val="005C021B"/>
    <w:rsid w:val="005C12F8"/>
    <w:rsid w:val="005C13CD"/>
    <w:rsid w:val="005C5387"/>
    <w:rsid w:val="005C548E"/>
    <w:rsid w:val="005C5EC0"/>
    <w:rsid w:val="005C6547"/>
    <w:rsid w:val="005D0667"/>
    <w:rsid w:val="005D0996"/>
    <w:rsid w:val="005D0B6F"/>
    <w:rsid w:val="005D19D8"/>
    <w:rsid w:val="005D261F"/>
    <w:rsid w:val="005D2EE4"/>
    <w:rsid w:val="005D572F"/>
    <w:rsid w:val="005D57B8"/>
    <w:rsid w:val="005D619B"/>
    <w:rsid w:val="005D6A8E"/>
    <w:rsid w:val="005D788C"/>
    <w:rsid w:val="005E0358"/>
    <w:rsid w:val="005E2F0B"/>
    <w:rsid w:val="005E3238"/>
    <w:rsid w:val="005E35CE"/>
    <w:rsid w:val="005E49CC"/>
    <w:rsid w:val="005E4DEE"/>
    <w:rsid w:val="005E76C6"/>
    <w:rsid w:val="005F01E0"/>
    <w:rsid w:val="005F11A8"/>
    <w:rsid w:val="005F26BA"/>
    <w:rsid w:val="005F2C31"/>
    <w:rsid w:val="005F5E6E"/>
    <w:rsid w:val="005F64E3"/>
    <w:rsid w:val="005F6CDD"/>
    <w:rsid w:val="0060016D"/>
    <w:rsid w:val="00600D61"/>
    <w:rsid w:val="00604CE5"/>
    <w:rsid w:val="00610207"/>
    <w:rsid w:val="00610910"/>
    <w:rsid w:val="00610E41"/>
    <w:rsid w:val="00611D08"/>
    <w:rsid w:val="00613487"/>
    <w:rsid w:val="00613ECC"/>
    <w:rsid w:val="00615960"/>
    <w:rsid w:val="00617186"/>
    <w:rsid w:val="00617CF3"/>
    <w:rsid w:val="006204C4"/>
    <w:rsid w:val="006205D4"/>
    <w:rsid w:val="006212F7"/>
    <w:rsid w:val="00621EA5"/>
    <w:rsid w:val="006223E1"/>
    <w:rsid w:val="00623862"/>
    <w:rsid w:val="006253D3"/>
    <w:rsid w:val="00625E91"/>
    <w:rsid w:val="006273DC"/>
    <w:rsid w:val="00627750"/>
    <w:rsid w:val="0062796C"/>
    <w:rsid w:val="00627EF9"/>
    <w:rsid w:val="00630304"/>
    <w:rsid w:val="006321CD"/>
    <w:rsid w:val="0063367F"/>
    <w:rsid w:val="00633A38"/>
    <w:rsid w:val="00635E2A"/>
    <w:rsid w:val="00636915"/>
    <w:rsid w:val="00636A0E"/>
    <w:rsid w:val="00636F46"/>
    <w:rsid w:val="00637535"/>
    <w:rsid w:val="00637778"/>
    <w:rsid w:val="0064075C"/>
    <w:rsid w:val="00640EF8"/>
    <w:rsid w:val="00641C46"/>
    <w:rsid w:val="0064221C"/>
    <w:rsid w:val="00643669"/>
    <w:rsid w:val="006437E3"/>
    <w:rsid w:val="006448E9"/>
    <w:rsid w:val="00645470"/>
    <w:rsid w:val="00646D32"/>
    <w:rsid w:val="00647A5F"/>
    <w:rsid w:val="00650111"/>
    <w:rsid w:val="0065067D"/>
    <w:rsid w:val="00650FD4"/>
    <w:rsid w:val="00651E35"/>
    <w:rsid w:val="006522BD"/>
    <w:rsid w:val="00652949"/>
    <w:rsid w:val="006529A2"/>
    <w:rsid w:val="00654356"/>
    <w:rsid w:val="006543C1"/>
    <w:rsid w:val="006549DF"/>
    <w:rsid w:val="00654E7C"/>
    <w:rsid w:val="0065705C"/>
    <w:rsid w:val="00660207"/>
    <w:rsid w:val="00663B30"/>
    <w:rsid w:val="00665A39"/>
    <w:rsid w:val="00667162"/>
    <w:rsid w:val="0066783E"/>
    <w:rsid w:val="0067420B"/>
    <w:rsid w:val="0067702D"/>
    <w:rsid w:val="00680D2B"/>
    <w:rsid w:val="00682C89"/>
    <w:rsid w:val="00683AA8"/>
    <w:rsid w:val="00686BB2"/>
    <w:rsid w:val="0068758A"/>
    <w:rsid w:val="00691385"/>
    <w:rsid w:val="006916FB"/>
    <w:rsid w:val="00692D37"/>
    <w:rsid w:val="00694AD3"/>
    <w:rsid w:val="00694FD4"/>
    <w:rsid w:val="00696B66"/>
    <w:rsid w:val="006A07B9"/>
    <w:rsid w:val="006A358D"/>
    <w:rsid w:val="006A3671"/>
    <w:rsid w:val="006A3CEA"/>
    <w:rsid w:val="006A4569"/>
    <w:rsid w:val="006A560F"/>
    <w:rsid w:val="006A57FB"/>
    <w:rsid w:val="006A65D5"/>
    <w:rsid w:val="006A7E71"/>
    <w:rsid w:val="006B056F"/>
    <w:rsid w:val="006B0D07"/>
    <w:rsid w:val="006B0E6B"/>
    <w:rsid w:val="006B26D5"/>
    <w:rsid w:val="006B308F"/>
    <w:rsid w:val="006B3713"/>
    <w:rsid w:val="006B3F4F"/>
    <w:rsid w:val="006B4674"/>
    <w:rsid w:val="006C08DE"/>
    <w:rsid w:val="006C0C2F"/>
    <w:rsid w:val="006C10B3"/>
    <w:rsid w:val="006C172D"/>
    <w:rsid w:val="006C1F94"/>
    <w:rsid w:val="006C2FAD"/>
    <w:rsid w:val="006C690A"/>
    <w:rsid w:val="006C69E7"/>
    <w:rsid w:val="006C6C0E"/>
    <w:rsid w:val="006C7232"/>
    <w:rsid w:val="006D08C6"/>
    <w:rsid w:val="006D3198"/>
    <w:rsid w:val="006D4491"/>
    <w:rsid w:val="006E00EC"/>
    <w:rsid w:val="006E0B0D"/>
    <w:rsid w:val="006E2456"/>
    <w:rsid w:val="006E45FD"/>
    <w:rsid w:val="006E55F9"/>
    <w:rsid w:val="006F072C"/>
    <w:rsid w:val="006F193B"/>
    <w:rsid w:val="006F24CF"/>
    <w:rsid w:val="006F4C9F"/>
    <w:rsid w:val="006F720A"/>
    <w:rsid w:val="00702CDB"/>
    <w:rsid w:val="00703A41"/>
    <w:rsid w:val="00703A69"/>
    <w:rsid w:val="0070412A"/>
    <w:rsid w:val="00704A9F"/>
    <w:rsid w:val="007050BC"/>
    <w:rsid w:val="0070787F"/>
    <w:rsid w:val="007131F0"/>
    <w:rsid w:val="0072051F"/>
    <w:rsid w:val="0072055F"/>
    <w:rsid w:val="0072061F"/>
    <w:rsid w:val="00721461"/>
    <w:rsid w:val="0072150F"/>
    <w:rsid w:val="00725D0D"/>
    <w:rsid w:val="007260E0"/>
    <w:rsid w:val="00733932"/>
    <w:rsid w:val="00734188"/>
    <w:rsid w:val="007349A7"/>
    <w:rsid w:val="007349CF"/>
    <w:rsid w:val="00736126"/>
    <w:rsid w:val="0073780E"/>
    <w:rsid w:val="00740345"/>
    <w:rsid w:val="00741B5E"/>
    <w:rsid w:val="00741B82"/>
    <w:rsid w:val="007431FF"/>
    <w:rsid w:val="007435CB"/>
    <w:rsid w:val="00746F85"/>
    <w:rsid w:val="0075074B"/>
    <w:rsid w:val="00753866"/>
    <w:rsid w:val="007548A0"/>
    <w:rsid w:val="00754D01"/>
    <w:rsid w:val="00754E32"/>
    <w:rsid w:val="00755387"/>
    <w:rsid w:val="0075692F"/>
    <w:rsid w:val="00757128"/>
    <w:rsid w:val="00760F74"/>
    <w:rsid w:val="00761B04"/>
    <w:rsid w:val="00763BFF"/>
    <w:rsid w:val="00766238"/>
    <w:rsid w:val="00766D6E"/>
    <w:rsid w:val="007670E5"/>
    <w:rsid w:val="007706B3"/>
    <w:rsid w:val="007711AA"/>
    <w:rsid w:val="007716BF"/>
    <w:rsid w:val="00773F0F"/>
    <w:rsid w:val="00775026"/>
    <w:rsid w:val="00775207"/>
    <w:rsid w:val="00775694"/>
    <w:rsid w:val="00777826"/>
    <w:rsid w:val="00777C75"/>
    <w:rsid w:val="00781EA0"/>
    <w:rsid w:val="007846E5"/>
    <w:rsid w:val="00784AF5"/>
    <w:rsid w:val="007852F8"/>
    <w:rsid w:val="00785DEA"/>
    <w:rsid w:val="00786992"/>
    <w:rsid w:val="007909C4"/>
    <w:rsid w:val="0079136A"/>
    <w:rsid w:val="00791F64"/>
    <w:rsid w:val="00792D30"/>
    <w:rsid w:val="0079399C"/>
    <w:rsid w:val="00793FB7"/>
    <w:rsid w:val="00794CEA"/>
    <w:rsid w:val="00796B9A"/>
    <w:rsid w:val="0079755D"/>
    <w:rsid w:val="007A057C"/>
    <w:rsid w:val="007A0861"/>
    <w:rsid w:val="007A242F"/>
    <w:rsid w:val="007A24F5"/>
    <w:rsid w:val="007A2C98"/>
    <w:rsid w:val="007A3627"/>
    <w:rsid w:val="007A3BDA"/>
    <w:rsid w:val="007A4577"/>
    <w:rsid w:val="007A481D"/>
    <w:rsid w:val="007A4976"/>
    <w:rsid w:val="007A7D7F"/>
    <w:rsid w:val="007B11E4"/>
    <w:rsid w:val="007B3E64"/>
    <w:rsid w:val="007B6482"/>
    <w:rsid w:val="007B6837"/>
    <w:rsid w:val="007B6A3D"/>
    <w:rsid w:val="007C1A57"/>
    <w:rsid w:val="007C1BC1"/>
    <w:rsid w:val="007C2C9B"/>
    <w:rsid w:val="007C4C73"/>
    <w:rsid w:val="007C50BC"/>
    <w:rsid w:val="007D02CF"/>
    <w:rsid w:val="007D03AA"/>
    <w:rsid w:val="007D2DB3"/>
    <w:rsid w:val="007D38BD"/>
    <w:rsid w:val="007D637C"/>
    <w:rsid w:val="007D6E75"/>
    <w:rsid w:val="007D758E"/>
    <w:rsid w:val="007E1162"/>
    <w:rsid w:val="007E12EA"/>
    <w:rsid w:val="007E63B7"/>
    <w:rsid w:val="007E64EF"/>
    <w:rsid w:val="007F107B"/>
    <w:rsid w:val="007F2B93"/>
    <w:rsid w:val="007F400F"/>
    <w:rsid w:val="007F6F50"/>
    <w:rsid w:val="007F77B0"/>
    <w:rsid w:val="00803453"/>
    <w:rsid w:val="00803BC4"/>
    <w:rsid w:val="00805C52"/>
    <w:rsid w:val="0081134C"/>
    <w:rsid w:val="008113E6"/>
    <w:rsid w:val="0081389E"/>
    <w:rsid w:val="00813E64"/>
    <w:rsid w:val="0081555B"/>
    <w:rsid w:val="00815D1E"/>
    <w:rsid w:val="008264BF"/>
    <w:rsid w:val="00827821"/>
    <w:rsid w:val="00827893"/>
    <w:rsid w:val="008414C0"/>
    <w:rsid w:val="008424E9"/>
    <w:rsid w:val="00843AC8"/>
    <w:rsid w:val="00844AE4"/>
    <w:rsid w:val="00850729"/>
    <w:rsid w:val="00850AFC"/>
    <w:rsid w:val="00852FBA"/>
    <w:rsid w:val="00855029"/>
    <w:rsid w:val="008557DB"/>
    <w:rsid w:val="00855B3A"/>
    <w:rsid w:val="0085643B"/>
    <w:rsid w:val="008564AE"/>
    <w:rsid w:val="00862876"/>
    <w:rsid w:val="00862CD3"/>
    <w:rsid w:val="00863CE9"/>
    <w:rsid w:val="00865D5B"/>
    <w:rsid w:val="008667F5"/>
    <w:rsid w:val="00867D57"/>
    <w:rsid w:val="00870E70"/>
    <w:rsid w:val="008716E0"/>
    <w:rsid w:val="00873608"/>
    <w:rsid w:val="00874E70"/>
    <w:rsid w:val="00875935"/>
    <w:rsid w:val="00875C9D"/>
    <w:rsid w:val="008769B5"/>
    <w:rsid w:val="00876A76"/>
    <w:rsid w:val="00876EE4"/>
    <w:rsid w:val="008823CA"/>
    <w:rsid w:val="008829E4"/>
    <w:rsid w:val="00882B6C"/>
    <w:rsid w:val="008841C9"/>
    <w:rsid w:val="00884AE1"/>
    <w:rsid w:val="008856E4"/>
    <w:rsid w:val="00885A57"/>
    <w:rsid w:val="00885CDE"/>
    <w:rsid w:val="00886015"/>
    <w:rsid w:val="00886CDE"/>
    <w:rsid w:val="00893094"/>
    <w:rsid w:val="008964AE"/>
    <w:rsid w:val="008A09F1"/>
    <w:rsid w:val="008A0BF2"/>
    <w:rsid w:val="008A199F"/>
    <w:rsid w:val="008A1AE1"/>
    <w:rsid w:val="008A1E7A"/>
    <w:rsid w:val="008A27BF"/>
    <w:rsid w:val="008A561B"/>
    <w:rsid w:val="008A6DF7"/>
    <w:rsid w:val="008A78B2"/>
    <w:rsid w:val="008B1710"/>
    <w:rsid w:val="008B202B"/>
    <w:rsid w:val="008B240B"/>
    <w:rsid w:val="008B2901"/>
    <w:rsid w:val="008B297A"/>
    <w:rsid w:val="008B2EB6"/>
    <w:rsid w:val="008C0565"/>
    <w:rsid w:val="008C1DF6"/>
    <w:rsid w:val="008C206A"/>
    <w:rsid w:val="008C4BC5"/>
    <w:rsid w:val="008C5686"/>
    <w:rsid w:val="008C75FA"/>
    <w:rsid w:val="008C78B1"/>
    <w:rsid w:val="008D188A"/>
    <w:rsid w:val="008D241B"/>
    <w:rsid w:val="008D4AF4"/>
    <w:rsid w:val="008D50A1"/>
    <w:rsid w:val="008D795B"/>
    <w:rsid w:val="008E15E9"/>
    <w:rsid w:val="008E45C9"/>
    <w:rsid w:val="008E6723"/>
    <w:rsid w:val="008E6CBB"/>
    <w:rsid w:val="008F085E"/>
    <w:rsid w:val="008F0DA3"/>
    <w:rsid w:val="008F2DA2"/>
    <w:rsid w:val="008F4DD4"/>
    <w:rsid w:val="008F656E"/>
    <w:rsid w:val="008F65EF"/>
    <w:rsid w:val="008F6BB5"/>
    <w:rsid w:val="008F761C"/>
    <w:rsid w:val="00900275"/>
    <w:rsid w:val="00901127"/>
    <w:rsid w:val="00902D3C"/>
    <w:rsid w:val="00902DE4"/>
    <w:rsid w:val="0090475D"/>
    <w:rsid w:val="00905B48"/>
    <w:rsid w:val="009072EC"/>
    <w:rsid w:val="009103AB"/>
    <w:rsid w:val="00910A0F"/>
    <w:rsid w:val="0091224B"/>
    <w:rsid w:val="00912DCB"/>
    <w:rsid w:val="00913039"/>
    <w:rsid w:val="00913A50"/>
    <w:rsid w:val="00915E04"/>
    <w:rsid w:val="00916AEB"/>
    <w:rsid w:val="00916DD8"/>
    <w:rsid w:val="00921EF2"/>
    <w:rsid w:val="00924EEE"/>
    <w:rsid w:val="00925E00"/>
    <w:rsid w:val="00930223"/>
    <w:rsid w:val="00931398"/>
    <w:rsid w:val="009333AC"/>
    <w:rsid w:val="00933B33"/>
    <w:rsid w:val="009348C3"/>
    <w:rsid w:val="00934AA8"/>
    <w:rsid w:val="009355F9"/>
    <w:rsid w:val="00936D65"/>
    <w:rsid w:val="00944BE8"/>
    <w:rsid w:val="00945096"/>
    <w:rsid w:val="009458E3"/>
    <w:rsid w:val="00946869"/>
    <w:rsid w:val="009475CA"/>
    <w:rsid w:val="00951F7D"/>
    <w:rsid w:val="00954AD1"/>
    <w:rsid w:val="00954CC4"/>
    <w:rsid w:val="0095533B"/>
    <w:rsid w:val="00955C69"/>
    <w:rsid w:val="00956D0F"/>
    <w:rsid w:val="0095752E"/>
    <w:rsid w:val="00957897"/>
    <w:rsid w:val="00957C8E"/>
    <w:rsid w:val="00961E3B"/>
    <w:rsid w:val="00963BEC"/>
    <w:rsid w:val="00964E23"/>
    <w:rsid w:val="009669F3"/>
    <w:rsid w:val="009676A6"/>
    <w:rsid w:val="00971CDF"/>
    <w:rsid w:val="009732D0"/>
    <w:rsid w:val="0097349F"/>
    <w:rsid w:val="00973DF9"/>
    <w:rsid w:val="0097595D"/>
    <w:rsid w:val="00976181"/>
    <w:rsid w:val="00976ACC"/>
    <w:rsid w:val="00976F33"/>
    <w:rsid w:val="00981B6D"/>
    <w:rsid w:val="00982097"/>
    <w:rsid w:val="00982D6F"/>
    <w:rsid w:val="0098336B"/>
    <w:rsid w:val="00985A39"/>
    <w:rsid w:val="00990A23"/>
    <w:rsid w:val="00991BE6"/>
    <w:rsid w:val="00991C9B"/>
    <w:rsid w:val="009936BA"/>
    <w:rsid w:val="00995BB4"/>
    <w:rsid w:val="0099633F"/>
    <w:rsid w:val="00996BFB"/>
    <w:rsid w:val="00996C3A"/>
    <w:rsid w:val="00997BD9"/>
    <w:rsid w:val="009A011F"/>
    <w:rsid w:val="009A0A1A"/>
    <w:rsid w:val="009A11DC"/>
    <w:rsid w:val="009A14E3"/>
    <w:rsid w:val="009A4759"/>
    <w:rsid w:val="009A48C8"/>
    <w:rsid w:val="009A5F02"/>
    <w:rsid w:val="009A61A7"/>
    <w:rsid w:val="009B0812"/>
    <w:rsid w:val="009B0879"/>
    <w:rsid w:val="009B3049"/>
    <w:rsid w:val="009B3462"/>
    <w:rsid w:val="009B4462"/>
    <w:rsid w:val="009B56EF"/>
    <w:rsid w:val="009B5D0F"/>
    <w:rsid w:val="009B7B29"/>
    <w:rsid w:val="009C195B"/>
    <w:rsid w:val="009C26AB"/>
    <w:rsid w:val="009C27DC"/>
    <w:rsid w:val="009C34A6"/>
    <w:rsid w:val="009C4459"/>
    <w:rsid w:val="009C4C32"/>
    <w:rsid w:val="009C7C1C"/>
    <w:rsid w:val="009D4522"/>
    <w:rsid w:val="009D4DE7"/>
    <w:rsid w:val="009D61AB"/>
    <w:rsid w:val="009E1511"/>
    <w:rsid w:val="009E5D15"/>
    <w:rsid w:val="009E69CB"/>
    <w:rsid w:val="009E6C1E"/>
    <w:rsid w:val="009E76E7"/>
    <w:rsid w:val="009F2E05"/>
    <w:rsid w:val="009F3B35"/>
    <w:rsid w:val="009F3CB5"/>
    <w:rsid w:val="009F4032"/>
    <w:rsid w:val="009F6523"/>
    <w:rsid w:val="009F6FDE"/>
    <w:rsid w:val="00A01DFC"/>
    <w:rsid w:val="00A025E2"/>
    <w:rsid w:val="00A02EB1"/>
    <w:rsid w:val="00A032E2"/>
    <w:rsid w:val="00A059D7"/>
    <w:rsid w:val="00A150E9"/>
    <w:rsid w:val="00A178E5"/>
    <w:rsid w:val="00A22A55"/>
    <w:rsid w:val="00A22EF2"/>
    <w:rsid w:val="00A22F65"/>
    <w:rsid w:val="00A2509C"/>
    <w:rsid w:val="00A2759B"/>
    <w:rsid w:val="00A278F0"/>
    <w:rsid w:val="00A30BFA"/>
    <w:rsid w:val="00A31EBF"/>
    <w:rsid w:val="00A32991"/>
    <w:rsid w:val="00A32EE2"/>
    <w:rsid w:val="00A40515"/>
    <w:rsid w:val="00A41EE7"/>
    <w:rsid w:val="00A43D0D"/>
    <w:rsid w:val="00A4594A"/>
    <w:rsid w:val="00A45BD2"/>
    <w:rsid w:val="00A46104"/>
    <w:rsid w:val="00A46363"/>
    <w:rsid w:val="00A47C9F"/>
    <w:rsid w:val="00A501E5"/>
    <w:rsid w:val="00A529D2"/>
    <w:rsid w:val="00A56CFC"/>
    <w:rsid w:val="00A576D5"/>
    <w:rsid w:val="00A57DB1"/>
    <w:rsid w:val="00A602B7"/>
    <w:rsid w:val="00A60D16"/>
    <w:rsid w:val="00A63DD1"/>
    <w:rsid w:val="00A64D5A"/>
    <w:rsid w:val="00A666DE"/>
    <w:rsid w:val="00A7674A"/>
    <w:rsid w:val="00A77343"/>
    <w:rsid w:val="00A802D7"/>
    <w:rsid w:val="00A83AE2"/>
    <w:rsid w:val="00A84126"/>
    <w:rsid w:val="00A851DF"/>
    <w:rsid w:val="00A8655B"/>
    <w:rsid w:val="00A86E92"/>
    <w:rsid w:val="00A9290F"/>
    <w:rsid w:val="00A952D7"/>
    <w:rsid w:val="00AA106E"/>
    <w:rsid w:val="00AA2B7A"/>
    <w:rsid w:val="00AA4281"/>
    <w:rsid w:val="00AA5156"/>
    <w:rsid w:val="00AA6AC3"/>
    <w:rsid w:val="00AA7269"/>
    <w:rsid w:val="00AB0280"/>
    <w:rsid w:val="00AB48D2"/>
    <w:rsid w:val="00AB49DC"/>
    <w:rsid w:val="00AB5CF6"/>
    <w:rsid w:val="00AB686E"/>
    <w:rsid w:val="00AB776A"/>
    <w:rsid w:val="00AC294D"/>
    <w:rsid w:val="00AC32F4"/>
    <w:rsid w:val="00AC5F87"/>
    <w:rsid w:val="00AC6D0F"/>
    <w:rsid w:val="00AC769B"/>
    <w:rsid w:val="00AD0145"/>
    <w:rsid w:val="00AD0C5A"/>
    <w:rsid w:val="00AD1E04"/>
    <w:rsid w:val="00AD26B3"/>
    <w:rsid w:val="00AD6854"/>
    <w:rsid w:val="00AD7006"/>
    <w:rsid w:val="00AD79B5"/>
    <w:rsid w:val="00AE3FBF"/>
    <w:rsid w:val="00AE4270"/>
    <w:rsid w:val="00AE593B"/>
    <w:rsid w:val="00AF002A"/>
    <w:rsid w:val="00AF0E81"/>
    <w:rsid w:val="00AF1EDF"/>
    <w:rsid w:val="00AF54D6"/>
    <w:rsid w:val="00AF7009"/>
    <w:rsid w:val="00B018E7"/>
    <w:rsid w:val="00B01F8C"/>
    <w:rsid w:val="00B03C12"/>
    <w:rsid w:val="00B03FA7"/>
    <w:rsid w:val="00B052E4"/>
    <w:rsid w:val="00B05718"/>
    <w:rsid w:val="00B05CE9"/>
    <w:rsid w:val="00B07E0F"/>
    <w:rsid w:val="00B1048E"/>
    <w:rsid w:val="00B10D42"/>
    <w:rsid w:val="00B118F0"/>
    <w:rsid w:val="00B13924"/>
    <w:rsid w:val="00B13969"/>
    <w:rsid w:val="00B147E0"/>
    <w:rsid w:val="00B22152"/>
    <w:rsid w:val="00B2235B"/>
    <w:rsid w:val="00B24DCE"/>
    <w:rsid w:val="00B251E4"/>
    <w:rsid w:val="00B2543D"/>
    <w:rsid w:val="00B260A8"/>
    <w:rsid w:val="00B32D89"/>
    <w:rsid w:val="00B3427F"/>
    <w:rsid w:val="00B3482B"/>
    <w:rsid w:val="00B36677"/>
    <w:rsid w:val="00B36A69"/>
    <w:rsid w:val="00B400C0"/>
    <w:rsid w:val="00B444AA"/>
    <w:rsid w:val="00B44C43"/>
    <w:rsid w:val="00B5539C"/>
    <w:rsid w:val="00B5640C"/>
    <w:rsid w:val="00B6207F"/>
    <w:rsid w:val="00B6245B"/>
    <w:rsid w:val="00B63913"/>
    <w:rsid w:val="00B64633"/>
    <w:rsid w:val="00B7133A"/>
    <w:rsid w:val="00B713D5"/>
    <w:rsid w:val="00B74E79"/>
    <w:rsid w:val="00B75366"/>
    <w:rsid w:val="00B77488"/>
    <w:rsid w:val="00B84A5C"/>
    <w:rsid w:val="00B84C05"/>
    <w:rsid w:val="00B85F97"/>
    <w:rsid w:val="00B87472"/>
    <w:rsid w:val="00B950AF"/>
    <w:rsid w:val="00B9528C"/>
    <w:rsid w:val="00B95B52"/>
    <w:rsid w:val="00B97D7D"/>
    <w:rsid w:val="00BA519B"/>
    <w:rsid w:val="00BA62CB"/>
    <w:rsid w:val="00BB0D28"/>
    <w:rsid w:val="00BB17A5"/>
    <w:rsid w:val="00BB23D0"/>
    <w:rsid w:val="00BB41BE"/>
    <w:rsid w:val="00BB527E"/>
    <w:rsid w:val="00BB5F41"/>
    <w:rsid w:val="00BB62A6"/>
    <w:rsid w:val="00BB7BE9"/>
    <w:rsid w:val="00BC0676"/>
    <w:rsid w:val="00BC3E91"/>
    <w:rsid w:val="00BC4BBA"/>
    <w:rsid w:val="00BC4F3A"/>
    <w:rsid w:val="00BC6732"/>
    <w:rsid w:val="00BD06B0"/>
    <w:rsid w:val="00BD4D7D"/>
    <w:rsid w:val="00BD616A"/>
    <w:rsid w:val="00BD6E41"/>
    <w:rsid w:val="00BD7CC8"/>
    <w:rsid w:val="00BD7E87"/>
    <w:rsid w:val="00BE0C7D"/>
    <w:rsid w:val="00BE55D8"/>
    <w:rsid w:val="00BE584B"/>
    <w:rsid w:val="00BE5C02"/>
    <w:rsid w:val="00BE65D7"/>
    <w:rsid w:val="00BF0C2F"/>
    <w:rsid w:val="00BF5A41"/>
    <w:rsid w:val="00BF5FBC"/>
    <w:rsid w:val="00C00CE7"/>
    <w:rsid w:val="00C0226A"/>
    <w:rsid w:val="00C024AB"/>
    <w:rsid w:val="00C072F8"/>
    <w:rsid w:val="00C0741D"/>
    <w:rsid w:val="00C07657"/>
    <w:rsid w:val="00C1174A"/>
    <w:rsid w:val="00C155C6"/>
    <w:rsid w:val="00C17F76"/>
    <w:rsid w:val="00C20501"/>
    <w:rsid w:val="00C2478F"/>
    <w:rsid w:val="00C26C3D"/>
    <w:rsid w:val="00C2728D"/>
    <w:rsid w:val="00C30D7C"/>
    <w:rsid w:val="00C31569"/>
    <w:rsid w:val="00C326A1"/>
    <w:rsid w:val="00C34590"/>
    <w:rsid w:val="00C34B69"/>
    <w:rsid w:val="00C351E6"/>
    <w:rsid w:val="00C35B32"/>
    <w:rsid w:val="00C363A7"/>
    <w:rsid w:val="00C37B96"/>
    <w:rsid w:val="00C40B2F"/>
    <w:rsid w:val="00C4157B"/>
    <w:rsid w:val="00C418A0"/>
    <w:rsid w:val="00C4491F"/>
    <w:rsid w:val="00C46E97"/>
    <w:rsid w:val="00C50F75"/>
    <w:rsid w:val="00C539EB"/>
    <w:rsid w:val="00C53D45"/>
    <w:rsid w:val="00C55390"/>
    <w:rsid w:val="00C561DA"/>
    <w:rsid w:val="00C57377"/>
    <w:rsid w:val="00C613C0"/>
    <w:rsid w:val="00C62B07"/>
    <w:rsid w:val="00C63706"/>
    <w:rsid w:val="00C64440"/>
    <w:rsid w:val="00C66D3B"/>
    <w:rsid w:val="00C670C4"/>
    <w:rsid w:val="00C67BBE"/>
    <w:rsid w:val="00C702EF"/>
    <w:rsid w:val="00C70BD6"/>
    <w:rsid w:val="00C72B9A"/>
    <w:rsid w:val="00C72DFB"/>
    <w:rsid w:val="00C73C40"/>
    <w:rsid w:val="00C75299"/>
    <w:rsid w:val="00C75485"/>
    <w:rsid w:val="00C76EB1"/>
    <w:rsid w:val="00C76F57"/>
    <w:rsid w:val="00C808F3"/>
    <w:rsid w:val="00C8256B"/>
    <w:rsid w:val="00C82959"/>
    <w:rsid w:val="00C82A08"/>
    <w:rsid w:val="00C83A95"/>
    <w:rsid w:val="00C83ED5"/>
    <w:rsid w:val="00C84159"/>
    <w:rsid w:val="00C90258"/>
    <w:rsid w:val="00C906C3"/>
    <w:rsid w:val="00C9312F"/>
    <w:rsid w:val="00C934F5"/>
    <w:rsid w:val="00C947CF"/>
    <w:rsid w:val="00C9558B"/>
    <w:rsid w:val="00C95F08"/>
    <w:rsid w:val="00CA2BAB"/>
    <w:rsid w:val="00CA414B"/>
    <w:rsid w:val="00CA70DF"/>
    <w:rsid w:val="00CA750B"/>
    <w:rsid w:val="00CA7A44"/>
    <w:rsid w:val="00CB1B9D"/>
    <w:rsid w:val="00CB2D85"/>
    <w:rsid w:val="00CB3996"/>
    <w:rsid w:val="00CB49ED"/>
    <w:rsid w:val="00CB71C1"/>
    <w:rsid w:val="00CC0F61"/>
    <w:rsid w:val="00CC2C89"/>
    <w:rsid w:val="00CC36DE"/>
    <w:rsid w:val="00CC3A03"/>
    <w:rsid w:val="00CC7E15"/>
    <w:rsid w:val="00CD25D7"/>
    <w:rsid w:val="00CD5C87"/>
    <w:rsid w:val="00CD7865"/>
    <w:rsid w:val="00CD7A23"/>
    <w:rsid w:val="00CE1092"/>
    <w:rsid w:val="00CE33F3"/>
    <w:rsid w:val="00CE39C0"/>
    <w:rsid w:val="00CE39CA"/>
    <w:rsid w:val="00CE6B0D"/>
    <w:rsid w:val="00CE78FB"/>
    <w:rsid w:val="00CF0171"/>
    <w:rsid w:val="00CF0EB6"/>
    <w:rsid w:val="00CF2792"/>
    <w:rsid w:val="00CF47DF"/>
    <w:rsid w:val="00CF79E6"/>
    <w:rsid w:val="00D00CF0"/>
    <w:rsid w:val="00D014E9"/>
    <w:rsid w:val="00D01BA7"/>
    <w:rsid w:val="00D05149"/>
    <w:rsid w:val="00D05231"/>
    <w:rsid w:val="00D068D2"/>
    <w:rsid w:val="00D10847"/>
    <w:rsid w:val="00D11456"/>
    <w:rsid w:val="00D13AAB"/>
    <w:rsid w:val="00D14621"/>
    <w:rsid w:val="00D16179"/>
    <w:rsid w:val="00D162DC"/>
    <w:rsid w:val="00D16C55"/>
    <w:rsid w:val="00D17037"/>
    <w:rsid w:val="00D206EE"/>
    <w:rsid w:val="00D21FF2"/>
    <w:rsid w:val="00D2350E"/>
    <w:rsid w:val="00D23A63"/>
    <w:rsid w:val="00D26DEF"/>
    <w:rsid w:val="00D32D78"/>
    <w:rsid w:val="00D33534"/>
    <w:rsid w:val="00D34F94"/>
    <w:rsid w:val="00D42187"/>
    <w:rsid w:val="00D44D7C"/>
    <w:rsid w:val="00D45BDA"/>
    <w:rsid w:val="00D4609D"/>
    <w:rsid w:val="00D52D8D"/>
    <w:rsid w:val="00D52F83"/>
    <w:rsid w:val="00D57917"/>
    <w:rsid w:val="00D60632"/>
    <w:rsid w:val="00D60865"/>
    <w:rsid w:val="00D61715"/>
    <w:rsid w:val="00D63B8E"/>
    <w:rsid w:val="00D645EE"/>
    <w:rsid w:val="00D65587"/>
    <w:rsid w:val="00D66A35"/>
    <w:rsid w:val="00D66D63"/>
    <w:rsid w:val="00D67B33"/>
    <w:rsid w:val="00D70F74"/>
    <w:rsid w:val="00D7332E"/>
    <w:rsid w:val="00D74D69"/>
    <w:rsid w:val="00D760C8"/>
    <w:rsid w:val="00D76C51"/>
    <w:rsid w:val="00D83F3C"/>
    <w:rsid w:val="00D845C9"/>
    <w:rsid w:val="00D84654"/>
    <w:rsid w:val="00D8764D"/>
    <w:rsid w:val="00D877C8"/>
    <w:rsid w:val="00D90025"/>
    <w:rsid w:val="00D911BB"/>
    <w:rsid w:val="00D91499"/>
    <w:rsid w:val="00D94A29"/>
    <w:rsid w:val="00D97319"/>
    <w:rsid w:val="00D979F6"/>
    <w:rsid w:val="00DA445B"/>
    <w:rsid w:val="00DA45D9"/>
    <w:rsid w:val="00DA5372"/>
    <w:rsid w:val="00DA7F08"/>
    <w:rsid w:val="00DB2EF5"/>
    <w:rsid w:val="00DB34E0"/>
    <w:rsid w:val="00DB67A2"/>
    <w:rsid w:val="00DC013D"/>
    <w:rsid w:val="00DC0B96"/>
    <w:rsid w:val="00DC29F2"/>
    <w:rsid w:val="00DC3D5A"/>
    <w:rsid w:val="00DC3D5F"/>
    <w:rsid w:val="00DC4D50"/>
    <w:rsid w:val="00DC60C9"/>
    <w:rsid w:val="00DC78AD"/>
    <w:rsid w:val="00DD06E4"/>
    <w:rsid w:val="00DD15C1"/>
    <w:rsid w:val="00DD27D0"/>
    <w:rsid w:val="00DD2E65"/>
    <w:rsid w:val="00DD326F"/>
    <w:rsid w:val="00DE03F4"/>
    <w:rsid w:val="00DE079A"/>
    <w:rsid w:val="00DE1528"/>
    <w:rsid w:val="00DE1B1F"/>
    <w:rsid w:val="00DE1BFF"/>
    <w:rsid w:val="00DE255E"/>
    <w:rsid w:val="00DE360D"/>
    <w:rsid w:val="00DE3D7D"/>
    <w:rsid w:val="00DE67CC"/>
    <w:rsid w:val="00DE6933"/>
    <w:rsid w:val="00DE7417"/>
    <w:rsid w:val="00DF08D0"/>
    <w:rsid w:val="00DF3160"/>
    <w:rsid w:val="00DF3955"/>
    <w:rsid w:val="00DF4759"/>
    <w:rsid w:val="00DF5897"/>
    <w:rsid w:val="00DF7D31"/>
    <w:rsid w:val="00E0188B"/>
    <w:rsid w:val="00E03D16"/>
    <w:rsid w:val="00E0406C"/>
    <w:rsid w:val="00E062F1"/>
    <w:rsid w:val="00E11025"/>
    <w:rsid w:val="00E11C7F"/>
    <w:rsid w:val="00E15828"/>
    <w:rsid w:val="00E16989"/>
    <w:rsid w:val="00E16BCA"/>
    <w:rsid w:val="00E17584"/>
    <w:rsid w:val="00E17773"/>
    <w:rsid w:val="00E17ED3"/>
    <w:rsid w:val="00E17F89"/>
    <w:rsid w:val="00E22132"/>
    <w:rsid w:val="00E2269E"/>
    <w:rsid w:val="00E24F1F"/>
    <w:rsid w:val="00E2610C"/>
    <w:rsid w:val="00E30555"/>
    <w:rsid w:val="00E3347F"/>
    <w:rsid w:val="00E339D1"/>
    <w:rsid w:val="00E33B89"/>
    <w:rsid w:val="00E34B20"/>
    <w:rsid w:val="00E375EB"/>
    <w:rsid w:val="00E37771"/>
    <w:rsid w:val="00E40631"/>
    <w:rsid w:val="00E42046"/>
    <w:rsid w:val="00E42AF0"/>
    <w:rsid w:val="00E445FB"/>
    <w:rsid w:val="00E4463E"/>
    <w:rsid w:val="00E454D7"/>
    <w:rsid w:val="00E4553C"/>
    <w:rsid w:val="00E45B08"/>
    <w:rsid w:val="00E45ED5"/>
    <w:rsid w:val="00E502AB"/>
    <w:rsid w:val="00E50A03"/>
    <w:rsid w:val="00E51E8E"/>
    <w:rsid w:val="00E520D5"/>
    <w:rsid w:val="00E523B4"/>
    <w:rsid w:val="00E523DC"/>
    <w:rsid w:val="00E52403"/>
    <w:rsid w:val="00E53657"/>
    <w:rsid w:val="00E537AA"/>
    <w:rsid w:val="00E56884"/>
    <w:rsid w:val="00E56DEC"/>
    <w:rsid w:val="00E61CC8"/>
    <w:rsid w:val="00E62258"/>
    <w:rsid w:val="00E64A60"/>
    <w:rsid w:val="00E64F91"/>
    <w:rsid w:val="00E66784"/>
    <w:rsid w:val="00E72016"/>
    <w:rsid w:val="00E77BF1"/>
    <w:rsid w:val="00E82D10"/>
    <w:rsid w:val="00E83835"/>
    <w:rsid w:val="00E84096"/>
    <w:rsid w:val="00E86537"/>
    <w:rsid w:val="00E86E9B"/>
    <w:rsid w:val="00E90B78"/>
    <w:rsid w:val="00E916D2"/>
    <w:rsid w:val="00E925DB"/>
    <w:rsid w:val="00E93485"/>
    <w:rsid w:val="00E97790"/>
    <w:rsid w:val="00EA32E4"/>
    <w:rsid w:val="00EA35CB"/>
    <w:rsid w:val="00EA3873"/>
    <w:rsid w:val="00EA516E"/>
    <w:rsid w:val="00EA7D77"/>
    <w:rsid w:val="00EB159A"/>
    <w:rsid w:val="00EB4B84"/>
    <w:rsid w:val="00EB5684"/>
    <w:rsid w:val="00EB57E6"/>
    <w:rsid w:val="00EB6239"/>
    <w:rsid w:val="00EB7F44"/>
    <w:rsid w:val="00EC005F"/>
    <w:rsid w:val="00EC038E"/>
    <w:rsid w:val="00EC058C"/>
    <w:rsid w:val="00EC0710"/>
    <w:rsid w:val="00EC1473"/>
    <w:rsid w:val="00EC1520"/>
    <w:rsid w:val="00EC27F2"/>
    <w:rsid w:val="00EC28AB"/>
    <w:rsid w:val="00EC4739"/>
    <w:rsid w:val="00EC4755"/>
    <w:rsid w:val="00EC7DE6"/>
    <w:rsid w:val="00ED03FA"/>
    <w:rsid w:val="00ED0E16"/>
    <w:rsid w:val="00ED1830"/>
    <w:rsid w:val="00ED2FC2"/>
    <w:rsid w:val="00ED43F5"/>
    <w:rsid w:val="00ED46B2"/>
    <w:rsid w:val="00ED70D2"/>
    <w:rsid w:val="00ED7A59"/>
    <w:rsid w:val="00EE02FC"/>
    <w:rsid w:val="00EE18F5"/>
    <w:rsid w:val="00EE24C3"/>
    <w:rsid w:val="00EE540A"/>
    <w:rsid w:val="00EE7357"/>
    <w:rsid w:val="00EE739D"/>
    <w:rsid w:val="00EE78CC"/>
    <w:rsid w:val="00EF24EB"/>
    <w:rsid w:val="00EF42B9"/>
    <w:rsid w:val="00EF4403"/>
    <w:rsid w:val="00EF5B50"/>
    <w:rsid w:val="00EF7FF3"/>
    <w:rsid w:val="00F01871"/>
    <w:rsid w:val="00F02508"/>
    <w:rsid w:val="00F02B17"/>
    <w:rsid w:val="00F100B5"/>
    <w:rsid w:val="00F11537"/>
    <w:rsid w:val="00F116F0"/>
    <w:rsid w:val="00F121DE"/>
    <w:rsid w:val="00F12581"/>
    <w:rsid w:val="00F14147"/>
    <w:rsid w:val="00F20842"/>
    <w:rsid w:val="00F21776"/>
    <w:rsid w:val="00F2189F"/>
    <w:rsid w:val="00F21B1A"/>
    <w:rsid w:val="00F220C9"/>
    <w:rsid w:val="00F22D94"/>
    <w:rsid w:val="00F242D1"/>
    <w:rsid w:val="00F24BD7"/>
    <w:rsid w:val="00F24BFC"/>
    <w:rsid w:val="00F24C46"/>
    <w:rsid w:val="00F303EC"/>
    <w:rsid w:val="00F31F4D"/>
    <w:rsid w:val="00F32A57"/>
    <w:rsid w:val="00F333BC"/>
    <w:rsid w:val="00F33586"/>
    <w:rsid w:val="00F33DE6"/>
    <w:rsid w:val="00F35F6D"/>
    <w:rsid w:val="00F36764"/>
    <w:rsid w:val="00F37A26"/>
    <w:rsid w:val="00F37BFB"/>
    <w:rsid w:val="00F41453"/>
    <w:rsid w:val="00F4308D"/>
    <w:rsid w:val="00F442F1"/>
    <w:rsid w:val="00F44854"/>
    <w:rsid w:val="00F4560E"/>
    <w:rsid w:val="00F47C83"/>
    <w:rsid w:val="00F5428C"/>
    <w:rsid w:val="00F54494"/>
    <w:rsid w:val="00F579E2"/>
    <w:rsid w:val="00F60235"/>
    <w:rsid w:val="00F62AC0"/>
    <w:rsid w:val="00F649A0"/>
    <w:rsid w:val="00F64B1D"/>
    <w:rsid w:val="00F64E1F"/>
    <w:rsid w:val="00F66788"/>
    <w:rsid w:val="00F670BD"/>
    <w:rsid w:val="00F701E0"/>
    <w:rsid w:val="00F72CC6"/>
    <w:rsid w:val="00F7314F"/>
    <w:rsid w:val="00F751FA"/>
    <w:rsid w:val="00F77EC9"/>
    <w:rsid w:val="00F81395"/>
    <w:rsid w:val="00F83A87"/>
    <w:rsid w:val="00F83F97"/>
    <w:rsid w:val="00F8413E"/>
    <w:rsid w:val="00F84FFD"/>
    <w:rsid w:val="00F875A5"/>
    <w:rsid w:val="00F902DF"/>
    <w:rsid w:val="00F9273B"/>
    <w:rsid w:val="00F93270"/>
    <w:rsid w:val="00F93311"/>
    <w:rsid w:val="00F94917"/>
    <w:rsid w:val="00F962BD"/>
    <w:rsid w:val="00F973ED"/>
    <w:rsid w:val="00F97F24"/>
    <w:rsid w:val="00FA060D"/>
    <w:rsid w:val="00FA20F4"/>
    <w:rsid w:val="00FA2521"/>
    <w:rsid w:val="00FA6B6D"/>
    <w:rsid w:val="00FA75C5"/>
    <w:rsid w:val="00FB1EA8"/>
    <w:rsid w:val="00FB2AF8"/>
    <w:rsid w:val="00FB32AD"/>
    <w:rsid w:val="00FB357A"/>
    <w:rsid w:val="00FB3DCC"/>
    <w:rsid w:val="00FB551E"/>
    <w:rsid w:val="00FB6463"/>
    <w:rsid w:val="00FC181E"/>
    <w:rsid w:val="00FC1ED4"/>
    <w:rsid w:val="00FC4108"/>
    <w:rsid w:val="00FC5F5C"/>
    <w:rsid w:val="00FC658F"/>
    <w:rsid w:val="00FC7F88"/>
    <w:rsid w:val="00FD03C4"/>
    <w:rsid w:val="00FD0B26"/>
    <w:rsid w:val="00FD0ED0"/>
    <w:rsid w:val="00FD1021"/>
    <w:rsid w:val="00FD1060"/>
    <w:rsid w:val="00FD13C2"/>
    <w:rsid w:val="00FD4D2E"/>
    <w:rsid w:val="00FD52E7"/>
    <w:rsid w:val="00FD6ACE"/>
    <w:rsid w:val="00FE0526"/>
    <w:rsid w:val="00FE0903"/>
    <w:rsid w:val="00FE2666"/>
    <w:rsid w:val="00FE30B3"/>
    <w:rsid w:val="00FE4BAA"/>
    <w:rsid w:val="00FE5736"/>
    <w:rsid w:val="00FF3474"/>
    <w:rsid w:val="00FF4361"/>
    <w:rsid w:val="00FF4D0E"/>
    <w:rsid w:val="00FF50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6145" v:ext="edit"/>
    <o:shapelayout v:ext="edit">
      <o:idmap data="1" v:ext="edit"/>
    </o:shapelayout>
  </w:shapeDefaults>
  <w:decimalSymbol w:val=","/>
  <w:listSeparator w:val=";"/>
</w:settings>
</file>

<file path=word/styles.xml><?xml version="1.0" encoding="utf-8"?>
<w:style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true" w:defUnhideWhenUsed="true" w:defQFormat="false" w:count="267">
    <w:lsdException w:name="Normal" w:semiHidden="false" w:unhideWhenUsed="false" w:qFormat="true"/>
    <w:lsdException w:name="heading 1" w:semiHidden="false" w:unhideWhenUsed="false" w:qFormat="true"/>
    <w:lsdException w:name="heading 2" w:qFormat="true"/>
    <w:lsdException w:name="heading 3" w:qFormat="true"/>
    <w:lsdException w:name="heading 4" w:qFormat="true"/>
    <w:lsdException w:name="heading 5" w:qFormat="true"/>
    <w:lsdException w:name="heading 6" w:qFormat="true"/>
    <w:lsdException w:name="heading 7" w:qFormat="true"/>
    <w:lsdException w:name="heading 8" w:qFormat="true"/>
    <w:lsdException w:name="heading 9" w:qFormat="true"/>
    <w:lsdException w:name="header" w:uiPriority="99"/>
    <w:lsdException w:name="footer" w:uiPriority="99"/>
    <w:lsdException w:name="caption" w:qFormat="true"/>
    <w:lsdException w:name="page number" w:uiPriority="99"/>
    <w:lsdException w:name="List Number" w:semiHidden="false" w:unhideWhenUsed="false"/>
    <w:lsdException w:name="List 4" w:semiHidden="false" w:unhideWhenUsed="false"/>
    <w:lsdException w:name="List 5" w:semiHidden="false" w:unhideWhenUsed="false"/>
    <w:lsdException w:name="Title" w:semiHidden="false" w:unhideWhenUsed="false" w:qFormat="true"/>
    <w:lsdException w:name="Subtitle" w:semiHidden="false" w:unhideWhenUsed="false" w:qFormat="true"/>
    <w:lsdException w:name="Salutation" w:semiHidden="false" w:unhideWhenUsed="false"/>
    <w:lsdException w:name="Date" w:semiHidden="false" w:unhideWhenUsed="false"/>
    <w:lsdException w:name="Body Text First Indent" w:semiHidden="false" w:unhideWhenUsed="false"/>
    <w:lsdException w:name="FollowedHyperlink" w:uiPriority="99"/>
    <w:lsdException w:name="Strong" w:uiPriority="22" w:semiHidden="false" w:unhideWhenUsed="false" w:qFormat="true"/>
    <w:lsdException w:name="Emphasis" w:uiPriority="20" w:semiHidden="false" w:unhideWhenUsed="false" w:qFormat="true"/>
    <w:lsdException w:name="Plain Text" w:uiPriority="99"/>
    <w:lsdException w:name="Normal (Web)" w:uiPriority="99"/>
    <w:lsdException w:name="No List" w:uiPriority="99"/>
    <w:lsdException w:name="Balloon Text" w:uiPriority="99"/>
    <w:lsdException w:name="Table Grid" w:semiHidden="false" w:unhideWhenUsed="false"/>
    <w:lsdException w:name="Placeholder Text" w:uiPriority="99"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iPriority="99"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Pr>
      <w:sz w:val="24"/>
      <w:szCs w:val="24"/>
      <w:lang w:eastAsia="en-US"/>
    </w:rPr>
  </w:style>
  <w:style w:type="paragraph" w:styleId="Naslov1">
    <w:name w:val="heading 1"/>
    <w:basedOn w:val="Normal"/>
    <w:next w:val="Normal"/>
    <w:link w:val="Naslov1Char"/>
    <w:qFormat/>
    <w:rsid w:val="00B052E4"/>
    <w:pPr>
      <w:keepNext/>
      <w:jc w:val="both"/>
      <w:outlineLvl w:val="0"/>
    </w:pPr>
    <w:rPr>
      <w:sz w:val="28"/>
      <w:szCs w:val="28"/>
    </w:rPr>
  </w:style>
  <w:style w:type="paragraph" w:styleId="Naslov2">
    <w:name w:val="heading 2"/>
    <w:basedOn w:val="Normal"/>
    <w:next w:val="Normal"/>
    <w:link w:val="Naslov2Char"/>
    <w:unhideWhenUsed/>
    <w:qFormat/>
    <w:rsid w:val="00B052E4"/>
    <w:pPr>
      <w:keepNext/>
      <w:outlineLvl w:val="1"/>
    </w:pPr>
    <w:rPr>
      <w:b/>
      <w:bCs/>
      <w:sz w:val="28"/>
      <w:szCs w:val="28"/>
    </w:rPr>
  </w:style>
  <w:style w:type="paragraph" w:styleId="Naslov3">
    <w:name w:val="heading 3"/>
    <w:basedOn w:val="Normal"/>
    <w:next w:val="Normal"/>
    <w:link w:val="Naslov3Char"/>
    <w:unhideWhenUsed/>
    <w:qFormat/>
    <w:rsid w:val="00B052E4"/>
    <w:pPr>
      <w:keepNext/>
      <w:jc w:val="both"/>
      <w:outlineLvl w:val="2"/>
    </w:pPr>
    <w:rPr>
      <w:b/>
      <w:bCs/>
      <w:sz w:val="28"/>
      <w:szCs w:val="28"/>
    </w:rPr>
  </w:style>
  <w:style w:type="paragraph" w:styleId="Naslov4">
    <w:name w:val="heading 4"/>
    <w:basedOn w:val="Normal"/>
    <w:next w:val="Normal"/>
    <w:link w:val="Naslov4Char"/>
    <w:qFormat/>
    <w:rsid w:val="00BC4BBA"/>
    <w:pPr>
      <w:keepNext/>
      <w:jc w:val="both"/>
      <w:outlineLvl w:val="3"/>
    </w:pPr>
    <w:rPr>
      <w:b/>
      <w:bCs/>
      <w:lang w:eastAsia="hr-HR"/>
    </w:rPr>
  </w:style>
  <w:style w:type="paragraph" w:styleId="Naslov5">
    <w:name w:val="heading 5"/>
    <w:basedOn w:val="Normal"/>
    <w:next w:val="Normal"/>
    <w:link w:val="Naslov5Char"/>
    <w:qFormat/>
    <w:rsid w:val="00BC4BBA"/>
    <w:pPr>
      <w:keepNext/>
      <w:ind w:left="708" w:hanging="708"/>
      <w:outlineLvl w:val="4"/>
    </w:pPr>
    <w:rPr>
      <w:b/>
      <w:bCs/>
      <w:lang w:eastAsia="hr-HR"/>
    </w:rPr>
  </w:style>
  <w:style w:type="paragraph" w:styleId="Naslov6">
    <w:name w:val="heading 6"/>
    <w:basedOn w:val="Normal"/>
    <w:next w:val="Normal"/>
    <w:link w:val="Naslov6Char"/>
    <w:qFormat/>
    <w:rsid w:val="00BC4BBA"/>
    <w:pPr>
      <w:keepNext/>
      <w:ind w:firstLine="708"/>
      <w:jc w:val="both"/>
      <w:outlineLvl w:val="5"/>
    </w:pPr>
    <w:rPr>
      <w:b/>
      <w:bCs/>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Naslov1Char" w:customStyle="true">
    <w:name w:val="Naslov 1 Char"/>
    <w:basedOn w:val="Zadanifontodlomka"/>
    <w:link w:val="Naslov1"/>
    <w:rsid w:val="00B052E4"/>
    <w:rPr>
      <w:sz w:val="28"/>
      <w:szCs w:val="28"/>
      <w:lang w:eastAsia="en-US"/>
    </w:rPr>
  </w:style>
  <w:style w:type="character" w:styleId="Naslov2Char" w:customStyle="true">
    <w:name w:val="Naslov 2 Char"/>
    <w:basedOn w:val="Zadanifontodlomka"/>
    <w:link w:val="Naslov2"/>
    <w:rsid w:val="00B052E4"/>
    <w:rPr>
      <w:b/>
      <w:bCs/>
      <w:sz w:val="28"/>
      <w:szCs w:val="28"/>
      <w:lang w:eastAsia="en-US"/>
    </w:rPr>
  </w:style>
  <w:style w:type="character" w:styleId="Naslov3Char" w:customStyle="true">
    <w:name w:val="Naslov 3 Char"/>
    <w:basedOn w:val="Zadanifontodlomka"/>
    <w:link w:val="Naslov3"/>
    <w:rsid w:val="00B052E4"/>
    <w:rPr>
      <w:b/>
      <w:bCs/>
      <w:sz w:val="28"/>
      <w:szCs w:val="28"/>
      <w:lang w:eastAsia="en-US"/>
    </w:rPr>
  </w:style>
  <w:style w:type="paragraph" w:styleId="Zaglavlje">
    <w:name w:val="header"/>
    <w:basedOn w:val="Normal"/>
    <w:link w:val="ZaglavljeChar"/>
    <w:uiPriority w:val="99"/>
    <w:rsid w:val="0029358B"/>
    <w:pPr>
      <w:tabs>
        <w:tab w:val="center" w:pos="4536"/>
        <w:tab w:val="right" w:pos="9072"/>
      </w:tabs>
    </w:pPr>
    <w:rPr>
      <w:lang w:val="en-US"/>
    </w:rPr>
  </w:style>
  <w:style w:type="character" w:styleId="ZaglavljeChar" w:customStyle="true">
    <w:name w:val="Zaglavlje Char"/>
    <w:link w:val="Zaglavlje"/>
    <w:uiPriority w:val="99"/>
    <w:rsid w:val="0029358B"/>
    <w:rPr>
      <w:sz w:val="24"/>
      <w:szCs w:val="24"/>
      <w:lang w:val="en-US" w:eastAsia="en-US"/>
    </w:rPr>
  </w:style>
  <w:style w:type="paragraph" w:styleId="Podnoje">
    <w:name w:val="footer"/>
    <w:basedOn w:val="Normal"/>
    <w:link w:val="PodnojeChar"/>
    <w:uiPriority w:val="99"/>
    <w:rsid w:val="0029358B"/>
    <w:pPr>
      <w:tabs>
        <w:tab w:val="center" w:pos="4536"/>
        <w:tab w:val="right" w:pos="9072"/>
      </w:tabs>
    </w:pPr>
    <w:rPr>
      <w:lang w:val="en-US"/>
    </w:rPr>
  </w:style>
  <w:style w:type="character" w:styleId="PodnojeChar" w:customStyle="true">
    <w:name w:val="Podnožje Char"/>
    <w:link w:val="Podnoje"/>
    <w:uiPriority w:val="99"/>
    <w:rsid w:val="0029358B"/>
    <w:rPr>
      <w:sz w:val="24"/>
      <w:szCs w:val="24"/>
      <w:lang w:val="en-US" w:eastAsia="en-US"/>
    </w:rPr>
  </w:style>
  <w:style w:type="paragraph" w:styleId="Odlomakpopisa">
    <w:name w:val="List Paragraph"/>
    <w:basedOn w:val="Normal"/>
    <w:uiPriority w:val="34"/>
    <w:qFormat/>
    <w:rsid w:val="007C1A57"/>
    <w:pPr>
      <w:ind w:left="708"/>
    </w:pPr>
  </w:style>
  <w:style w:type="paragraph" w:styleId="Tekstbalonia">
    <w:name w:val="Balloon Text"/>
    <w:basedOn w:val="Normal"/>
    <w:link w:val="TekstbaloniaChar"/>
    <w:uiPriority w:val="99"/>
    <w:rsid w:val="000F7D08"/>
    <w:rPr>
      <w:rFonts w:ascii="Tahoma" w:hAnsi="Tahoma"/>
      <w:sz w:val="16"/>
      <w:szCs w:val="16"/>
      <w:lang w:val="en-US"/>
    </w:rPr>
  </w:style>
  <w:style w:type="character" w:styleId="TekstbaloniaChar" w:customStyle="true">
    <w:name w:val="Tekst balončića Char"/>
    <w:link w:val="Tekstbalonia"/>
    <w:uiPriority w:val="99"/>
    <w:rsid w:val="000F7D08"/>
    <w:rPr>
      <w:rFonts w:ascii="Tahoma" w:hAnsi="Tahoma" w:cs="Tahoma"/>
      <w:sz w:val="16"/>
      <w:szCs w:val="16"/>
      <w:lang w:val="en-US" w:eastAsia="en-US"/>
    </w:rPr>
  </w:style>
  <w:style w:type="character" w:styleId="tabletextfield" w:customStyle="true">
    <w:name w:val="table_text_field"/>
    <w:basedOn w:val="Zadanifontodlomka"/>
    <w:rsid w:val="0079136A"/>
  </w:style>
  <w:style w:type="character" w:styleId="tabletitle2" w:customStyle="true">
    <w:name w:val="table_title2"/>
    <w:basedOn w:val="Zadanifontodlomka"/>
    <w:rsid w:val="00DF08D0"/>
  </w:style>
  <w:style w:type="character" w:styleId="Hiperveza">
    <w:name w:val="Hyperlink"/>
    <w:basedOn w:val="Zadanifontodlomka"/>
    <w:rsid w:val="003F61B4"/>
    <w:rPr>
      <w:color w:val="0000FF"/>
      <w:u w:val="single"/>
    </w:rPr>
  </w:style>
  <w:style w:type="paragraph" w:styleId="StandardWeb">
    <w:name w:val="Normal (Web)"/>
    <w:basedOn w:val="Normal"/>
    <w:uiPriority w:val="99"/>
    <w:unhideWhenUsed/>
    <w:rsid w:val="008264BF"/>
    <w:pPr>
      <w:spacing w:before="100" w:beforeAutospacing="true" w:after="100" w:afterAutospacing="true"/>
    </w:pPr>
    <w:rPr>
      <w:lang w:eastAsia="hr-HR"/>
    </w:rPr>
  </w:style>
  <w:style w:type="character" w:styleId="SlijeenaHiperveza">
    <w:name w:val="FollowedHyperlink"/>
    <w:uiPriority w:val="99"/>
    <w:unhideWhenUsed/>
    <w:rsid w:val="00B052E4"/>
    <w:rPr>
      <w:color w:val="954F72"/>
      <w:u w:val="single"/>
    </w:rPr>
  </w:style>
  <w:style w:type="paragraph" w:styleId="Tijeloteksta">
    <w:name w:val="Body Text"/>
    <w:basedOn w:val="Normal"/>
    <w:link w:val="TijelotekstaChar"/>
    <w:unhideWhenUsed/>
    <w:rsid w:val="00B052E4"/>
    <w:pPr>
      <w:jc w:val="both"/>
    </w:pPr>
  </w:style>
  <w:style w:type="character" w:styleId="TijelotekstaChar" w:customStyle="true">
    <w:name w:val="Tijelo teksta Char"/>
    <w:basedOn w:val="Zadanifontodlomka"/>
    <w:link w:val="Tijeloteksta"/>
    <w:rsid w:val="00B052E4"/>
    <w:rPr>
      <w:sz w:val="24"/>
      <w:szCs w:val="24"/>
      <w:lang w:eastAsia="en-US"/>
    </w:rPr>
  </w:style>
  <w:style w:type="paragraph" w:styleId="Bezproreda">
    <w:name w:val="No Spacing"/>
    <w:uiPriority w:val="1"/>
    <w:qFormat/>
    <w:rsid w:val="00B052E4"/>
    <w:rPr>
      <w:rFonts w:ascii="Calibri" w:hAnsi="Calibri" w:eastAsia="Calibri"/>
      <w:sz w:val="22"/>
      <w:szCs w:val="22"/>
      <w:lang w:eastAsia="en-US"/>
    </w:rPr>
  </w:style>
  <w:style w:type="paragraph" w:styleId="ColorfulList-Accent11" w:customStyle="true">
    <w:name w:val="Colorful List - Accent 11"/>
    <w:basedOn w:val="Normal"/>
    <w:uiPriority w:val="34"/>
    <w:qFormat/>
    <w:rsid w:val="00B052E4"/>
    <w:pPr>
      <w:ind w:left="708"/>
    </w:pPr>
  </w:style>
  <w:style w:type="paragraph" w:styleId="MediumGrid21" w:customStyle="true">
    <w:name w:val="Medium Grid 21"/>
    <w:uiPriority w:val="1"/>
    <w:qFormat/>
    <w:rsid w:val="00B052E4"/>
    <w:rPr>
      <w:rFonts w:ascii="Calibri" w:hAnsi="Calibri" w:eastAsia="Calibri"/>
      <w:sz w:val="22"/>
      <w:szCs w:val="22"/>
      <w:lang w:eastAsia="en-US"/>
    </w:rPr>
  </w:style>
  <w:style w:type="paragraph" w:styleId="msolistparagraph0" w:customStyle="true">
    <w:name w:val="msolistparagraph"/>
    <w:basedOn w:val="Normal"/>
    <w:uiPriority w:val="99"/>
    <w:rsid w:val="00B052E4"/>
    <w:pPr>
      <w:ind w:left="720"/>
    </w:pPr>
    <w:rPr>
      <w:rFonts w:ascii="Calibri" w:hAnsi="Calibri"/>
      <w:sz w:val="22"/>
      <w:szCs w:val="22"/>
      <w:lang w:eastAsia="hr-HR"/>
    </w:rPr>
  </w:style>
  <w:style w:type="paragraph" w:styleId="NoSpacing2" w:customStyle="true">
    <w:name w:val="No Spacing2"/>
    <w:uiPriority w:val="1"/>
    <w:qFormat/>
    <w:rsid w:val="00B052E4"/>
    <w:rPr>
      <w:rFonts w:ascii="Calibri" w:hAnsi="Calibri" w:eastAsia="Calibri"/>
      <w:sz w:val="22"/>
      <w:szCs w:val="22"/>
      <w:lang w:eastAsia="en-US"/>
    </w:rPr>
  </w:style>
  <w:style w:type="paragraph" w:styleId="MediumGrid22" w:customStyle="true">
    <w:name w:val="Medium Grid 22"/>
    <w:uiPriority w:val="1"/>
    <w:qFormat/>
    <w:rsid w:val="00B052E4"/>
    <w:rPr>
      <w:rFonts w:ascii="Calibri" w:hAnsi="Calibri" w:eastAsia="Calibri"/>
      <w:sz w:val="22"/>
      <w:szCs w:val="22"/>
      <w:lang w:eastAsia="en-US"/>
    </w:rPr>
  </w:style>
  <w:style w:type="paragraph" w:styleId="NoSpacing1" w:customStyle="true">
    <w:name w:val="No Spacing1"/>
    <w:qFormat/>
    <w:rsid w:val="00B052E4"/>
    <w:rPr>
      <w:rFonts w:ascii="Calibri" w:hAnsi="Calibri" w:eastAsia="Calibri"/>
      <w:sz w:val="22"/>
      <w:szCs w:val="22"/>
      <w:lang w:eastAsia="en-US"/>
    </w:rPr>
  </w:style>
  <w:style w:type="paragraph" w:styleId="Default" w:customStyle="true">
    <w:name w:val="Default"/>
    <w:uiPriority w:val="99"/>
    <w:rsid w:val="00B052E4"/>
    <w:pPr>
      <w:autoSpaceDE w:val="false"/>
      <w:autoSpaceDN w:val="false"/>
      <w:adjustRightInd w:val="false"/>
    </w:pPr>
    <w:rPr>
      <w:rFonts w:ascii="Calibri" w:hAnsi="Calibri" w:cs="Calibri"/>
      <w:color w:val="000000"/>
      <w:sz w:val="24"/>
      <w:szCs w:val="24"/>
    </w:rPr>
  </w:style>
  <w:style w:type="paragraph" w:styleId="msonormal0" w:customStyle="true">
    <w:name w:val="msonormal"/>
    <w:basedOn w:val="Normal"/>
    <w:uiPriority w:val="99"/>
    <w:rsid w:val="00B052E4"/>
    <w:pPr>
      <w:spacing w:before="100" w:beforeAutospacing="true" w:after="100" w:afterAutospacing="true"/>
    </w:pPr>
    <w:rPr>
      <w:lang w:val="en-GB" w:eastAsia="en-GB"/>
    </w:rPr>
  </w:style>
  <w:style w:type="paragraph" w:styleId="font5" w:customStyle="true">
    <w:name w:val="font5"/>
    <w:basedOn w:val="Normal"/>
    <w:uiPriority w:val="99"/>
    <w:rsid w:val="00B052E4"/>
    <w:pPr>
      <w:spacing w:before="100" w:beforeAutospacing="true" w:after="100" w:afterAutospacing="true"/>
    </w:pPr>
    <w:rPr>
      <w:rFonts w:ascii="Tahoma" w:hAnsi="Tahoma" w:cs="Tahoma"/>
      <w:color w:val="000000"/>
      <w:sz w:val="18"/>
      <w:szCs w:val="18"/>
      <w:lang w:val="en-GB" w:eastAsia="en-GB"/>
    </w:rPr>
  </w:style>
  <w:style w:type="paragraph" w:styleId="font6" w:customStyle="true">
    <w:name w:val="font6"/>
    <w:basedOn w:val="Normal"/>
    <w:uiPriority w:val="99"/>
    <w:rsid w:val="00B052E4"/>
    <w:pPr>
      <w:spacing w:before="100" w:beforeAutospacing="true" w:after="100" w:afterAutospacing="true"/>
    </w:pPr>
    <w:rPr>
      <w:rFonts w:ascii="Tahoma" w:hAnsi="Tahoma" w:cs="Tahoma"/>
      <w:b/>
      <w:bCs/>
      <w:color w:val="000000"/>
      <w:sz w:val="18"/>
      <w:szCs w:val="18"/>
      <w:lang w:val="en-GB" w:eastAsia="en-GB"/>
    </w:rPr>
  </w:style>
  <w:style w:type="paragraph" w:styleId="xl65" w:customStyle="true">
    <w:name w:val="xl65"/>
    <w:basedOn w:val="Normal"/>
    <w:uiPriority w:val="99"/>
    <w:rsid w:val="00B052E4"/>
    <w:pPr>
      <w:pBdr>
        <w:top w:val="single" w:color="auto" w:sz="4" w:space="0"/>
        <w:left w:val="single" w:color="auto" w:sz="4" w:space="0"/>
        <w:bottom w:val="single" w:color="auto" w:sz="4" w:space="0"/>
        <w:right w:val="single" w:color="auto" w:sz="4" w:space="0"/>
      </w:pBdr>
      <w:shd w:val="clear" w:color="auto" w:fill="FFD966"/>
      <w:spacing w:before="100" w:beforeAutospacing="true" w:after="100" w:afterAutospacing="true"/>
    </w:pPr>
    <w:rPr>
      <w:sz w:val="12"/>
      <w:szCs w:val="12"/>
      <w:lang w:val="en-GB" w:eastAsia="en-GB"/>
    </w:rPr>
  </w:style>
  <w:style w:type="paragraph" w:styleId="xl66" w:customStyle="true">
    <w:name w:val="xl66"/>
    <w:basedOn w:val="Normal"/>
    <w:uiPriority w:val="99"/>
    <w:rsid w:val="00B052E4"/>
    <w:pPr>
      <w:pBdr>
        <w:top w:val="single" w:color="auto" w:sz="4" w:space="0"/>
        <w:left w:val="single" w:color="auto" w:sz="4" w:space="0"/>
        <w:bottom w:val="single" w:color="auto" w:sz="4" w:space="0"/>
        <w:right w:val="single" w:color="auto" w:sz="4" w:space="0"/>
      </w:pBdr>
      <w:spacing w:before="100" w:beforeAutospacing="true" w:after="100" w:afterAutospacing="true"/>
    </w:pPr>
    <w:rPr>
      <w:sz w:val="12"/>
      <w:szCs w:val="12"/>
      <w:lang w:val="en-GB" w:eastAsia="en-GB"/>
    </w:rPr>
  </w:style>
  <w:style w:type="paragraph" w:styleId="xl67" w:customStyle="true">
    <w:name w:val="xl67"/>
    <w:basedOn w:val="Normal"/>
    <w:uiPriority w:val="99"/>
    <w:rsid w:val="00B052E4"/>
    <w:pPr>
      <w:spacing w:before="100" w:beforeAutospacing="true" w:after="100" w:afterAutospacing="true"/>
    </w:pPr>
    <w:rPr>
      <w:sz w:val="12"/>
      <w:szCs w:val="12"/>
      <w:lang w:val="en-GB" w:eastAsia="en-GB"/>
    </w:rPr>
  </w:style>
  <w:style w:type="paragraph" w:styleId="xl68" w:customStyle="true">
    <w:name w:val="xl68"/>
    <w:basedOn w:val="Normal"/>
    <w:uiPriority w:val="99"/>
    <w:rsid w:val="00B052E4"/>
    <w:pPr>
      <w:pBdr>
        <w:top w:val="single" w:color="auto" w:sz="4" w:space="0"/>
        <w:left w:val="single" w:color="auto" w:sz="4" w:space="0"/>
        <w:bottom w:val="single" w:color="auto" w:sz="4" w:space="0"/>
        <w:right w:val="single" w:color="auto" w:sz="4" w:space="0"/>
      </w:pBdr>
      <w:spacing w:before="100" w:beforeAutospacing="true" w:after="100" w:afterAutospacing="true"/>
    </w:pPr>
    <w:rPr>
      <w:sz w:val="12"/>
      <w:szCs w:val="12"/>
      <w:lang w:val="en-GB" w:eastAsia="en-GB"/>
    </w:rPr>
  </w:style>
  <w:style w:type="paragraph" w:styleId="xl69" w:customStyle="true">
    <w:name w:val="xl69"/>
    <w:basedOn w:val="Normal"/>
    <w:uiPriority w:val="99"/>
    <w:rsid w:val="00B052E4"/>
    <w:pPr>
      <w:spacing w:before="100" w:beforeAutospacing="true" w:after="100" w:afterAutospacing="true"/>
    </w:pPr>
    <w:rPr>
      <w:sz w:val="12"/>
      <w:szCs w:val="12"/>
      <w:lang w:val="en-GB" w:eastAsia="en-GB"/>
    </w:rPr>
  </w:style>
  <w:style w:type="paragraph" w:styleId="xl70" w:customStyle="true">
    <w:name w:val="xl70"/>
    <w:basedOn w:val="Normal"/>
    <w:uiPriority w:val="99"/>
    <w:rsid w:val="00B052E4"/>
    <w:pPr>
      <w:pBdr>
        <w:top w:val="single" w:color="auto" w:sz="4" w:space="0"/>
        <w:left w:val="single" w:color="auto" w:sz="4" w:space="0"/>
        <w:bottom w:val="single" w:color="auto" w:sz="4" w:space="0"/>
        <w:right w:val="single" w:color="auto" w:sz="4" w:space="0"/>
      </w:pBdr>
      <w:spacing w:before="100" w:beforeAutospacing="true" w:after="100" w:afterAutospacing="true"/>
    </w:pPr>
    <w:rPr>
      <w:sz w:val="12"/>
      <w:szCs w:val="12"/>
      <w:lang w:val="en-GB" w:eastAsia="en-GB"/>
    </w:rPr>
  </w:style>
  <w:style w:type="paragraph" w:styleId="xl71" w:customStyle="true">
    <w:name w:val="xl71"/>
    <w:basedOn w:val="Normal"/>
    <w:uiPriority w:val="99"/>
    <w:rsid w:val="00B052E4"/>
    <w:pPr>
      <w:spacing w:before="100" w:beforeAutospacing="true" w:after="100" w:afterAutospacing="true"/>
    </w:pPr>
    <w:rPr>
      <w:sz w:val="12"/>
      <w:szCs w:val="12"/>
      <w:lang w:val="en-GB" w:eastAsia="en-GB"/>
    </w:rPr>
  </w:style>
  <w:style w:type="paragraph" w:styleId="xl72" w:customStyle="true">
    <w:name w:val="xl72"/>
    <w:basedOn w:val="Normal"/>
    <w:uiPriority w:val="99"/>
    <w:rsid w:val="00B052E4"/>
    <w:pPr>
      <w:pBdr>
        <w:top w:val="single" w:color="auto" w:sz="4" w:space="0"/>
        <w:left w:val="single" w:color="auto" w:sz="4" w:space="0"/>
        <w:bottom w:val="single" w:color="auto" w:sz="4" w:space="0"/>
      </w:pBdr>
      <w:spacing w:before="100" w:beforeAutospacing="true" w:after="100" w:afterAutospacing="true"/>
    </w:pPr>
    <w:rPr>
      <w:sz w:val="12"/>
      <w:szCs w:val="12"/>
      <w:lang w:val="en-GB" w:eastAsia="en-GB"/>
    </w:rPr>
  </w:style>
  <w:style w:type="paragraph" w:styleId="xl73" w:customStyle="true">
    <w:name w:val="xl73"/>
    <w:basedOn w:val="Normal"/>
    <w:uiPriority w:val="99"/>
    <w:rsid w:val="00B052E4"/>
    <w:pPr>
      <w:pBdr>
        <w:top w:val="single" w:color="auto" w:sz="4" w:space="0"/>
        <w:left w:val="single" w:color="auto" w:sz="4" w:space="0"/>
        <w:right w:val="single" w:color="auto" w:sz="4" w:space="0"/>
      </w:pBdr>
      <w:shd w:val="clear" w:color="auto" w:fill="FFD966"/>
      <w:spacing w:before="100" w:beforeAutospacing="true" w:after="100" w:afterAutospacing="true"/>
    </w:pPr>
    <w:rPr>
      <w:sz w:val="12"/>
      <w:szCs w:val="12"/>
      <w:lang w:val="en-GB" w:eastAsia="en-GB"/>
    </w:rPr>
  </w:style>
  <w:style w:type="paragraph" w:styleId="xl74" w:customStyle="true">
    <w:name w:val="xl74"/>
    <w:basedOn w:val="Normal"/>
    <w:uiPriority w:val="99"/>
    <w:rsid w:val="00B052E4"/>
    <w:pPr>
      <w:pBdr>
        <w:top w:val="single" w:color="auto" w:sz="4" w:space="0"/>
        <w:left w:val="single" w:color="auto" w:sz="4" w:space="0"/>
        <w:bottom w:val="single" w:color="auto" w:sz="4" w:space="0"/>
        <w:right w:val="single" w:color="auto" w:sz="4" w:space="0"/>
      </w:pBdr>
      <w:shd w:val="clear" w:color="auto" w:fill="FFD966"/>
      <w:spacing w:before="100" w:beforeAutospacing="true" w:after="100" w:afterAutospacing="true"/>
    </w:pPr>
    <w:rPr>
      <w:sz w:val="12"/>
      <w:szCs w:val="12"/>
      <w:lang w:val="en-GB" w:eastAsia="en-GB"/>
    </w:rPr>
  </w:style>
  <w:style w:type="paragraph" w:styleId="xl75" w:customStyle="true">
    <w:name w:val="xl75"/>
    <w:basedOn w:val="Normal"/>
    <w:uiPriority w:val="99"/>
    <w:rsid w:val="00B052E4"/>
    <w:pPr>
      <w:pBdr>
        <w:top w:val="single" w:color="auto" w:sz="4" w:space="0"/>
        <w:left w:val="single" w:color="auto" w:sz="4" w:space="0"/>
        <w:bottom w:val="single" w:color="auto" w:sz="4" w:space="0"/>
        <w:right w:val="single" w:color="auto" w:sz="4" w:space="0"/>
      </w:pBdr>
      <w:shd w:val="clear" w:color="auto" w:fill="FFD966"/>
      <w:spacing w:before="100" w:beforeAutospacing="true" w:after="100" w:afterAutospacing="true"/>
    </w:pPr>
    <w:rPr>
      <w:sz w:val="12"/>
      <w:szCs w:val="12"/>
      <w:lang w:val="en-GB" w:eastAsia="en-GB"/>
    </w:rPr>
  </w:style>
  <w:style w:type="paragraph" w:styleId="xl76" w:customStyle="true">
    <w:name w:val="xl76"/>
    <w:basedOn w:val="Normal"/>
    <w:uiPriority w:val="99"/>
    <w:rsid w:val="00B052E4"/>
    <w:pPr>
      <w:pBdr>
        <w:top w:val="single" w:color="auto" w:sz="4" w:space="0"/>
        <w:left w:val="single" w:color="auto" w:sz="4" w:space="0"/>
        <w:bottom w:val="single" w:color="auto" w:sz="4" w:space="0"/>
        <w:right w:val="single" w:color="auto" w:sz="4" w:space="0"/>
      </w:pBdr>
      <w:shd w:val="clear" w:color="auto" w:fill="FF0000"/>
      <w:spacing w:before="100" w:beforeAutospacing="true" w:after="100" w:afterAutospacing="true"/>
    </w:pPr>
    <w:rPr>
      <w:sz w:val="12"/>
      <w:szCs w:val="12"/>
      <w:lang w:val="en-GB" w:eastAsia="en-GB"/>
    </w:rPr>
  </w:style>
  <w:style w:type="paragraph" w:styleId="xl77" w:customStyle="true">
    <w:name w:val="xl77"/>
    <w:basedOn w:val="Normal"/>
    <w:uiPriority w:val="99"/>
    <w:rsid w:val="00B052E4"/>
    <w:pPr>
      <w:pBdr>
        <w:top w:val="single" w:color="auto" w:sz="4" w:space="0"/>
        <w:left w:val="single" w:color="auto" w:sz="4" w:space="0"/>
        <w:bottom w:val="single" w:color="auto" w:sz="4" w:space="0"/>
        <w:right w:val="single" w:color="auto" w:sz="4" w:space="0"/>
      </w:pBdr>
      <w:shd w:val="clear" w:color="auto" w:fill="FFD966"/>
      <w:spacing w:before="100" w:beforeAutospacing="true" w:after="100" w:afterAutospacing="true"/>
    </w:pPr>
    <w:rPr>
      <w:sz w:val="12"/>
      <w:szCs w:val="12"/>
      <w:lang w:val="en-GB" w:eastAsia="en-GB"/>
    </w:rPr>
  </w:style>
  <w:style w:type="paragraph" w:styleId="xl78" w:customStyle="true">
    <w:name w:val="xl78"/>
    <w:basedOn w:val="Normal"/>
    <w:uiPriority w:val="99"/>
    <w:rsid w:val="00B052E4"/>
    <w:pPr>
      <w:pBdr>
        <w:top w:val="single" w:color="auto" w:sz="4" w:space="0"/>
        <w:left w:val="single" w:color="auto" w:sz="4" w:space="0"/>
        <w:bottom w:val="single" w:color="auto" w:sz="4" w:space="0"/>
        <w:right w:val="single" w:color="auto" w:sz="4" w:space="0"/>
      </w:pBdr>
      <w:shd w:val="clear" w:color="auto" w:fill="FFD966"/>
      <w:spacing w:before="100" w:beforeAutospacing="true" w:after="100" w:afterAutospacing="true"/>
    </w:pPr>
    <w:rPr>
      <w:sz w:val="12"/>
      <w:szCs w:val="12"/>
      <w:lang w:val="en-GB" w:eastAsia="en-GB"/>
    </w:rPr>
  </w:style>
  <w:style w:type="paragraph" w:styleId="xl79" w:customStyle="true">
    <w:name w:val="xl79"/>
    <w:basedOn w:val="Normal"/>
    <w:uiPriority w:val="99"/>
    <w:rsid w:val="00B052E4"/>
    <w:pPr>
      <w:pBdr>
        <w:top w:val="single" w:color="auto" w:sz="4" w:space="0"/>
        <w:left w:val="single" w:color="auto" w:sz="4" w:space="0"/>
        <w:bottom w:val="single" w:color="auto" w:sz="4" w:space="0"/>
        <w:right w:val="single" w:color="auto" w:sz="4" w:space="0"/>
      </w:pBdr>
      <w:shd w:val="clear" w:color="auto" w:fill="FFD966"/>
      <w:spacing w:before="100" w:beforeAutospacing="true" w:after="100" w:afterAutospacing="true"/>
    </w:pPr>
    <w:rPr>
      <w:sz w:val="12"/>
      <w:szCs w:val="12"/>
      <w:lang w:val="en-GB" w:eastAsia="en-GB"/>
    </w:rPr>
  </w:style>
  <w:style w:type="paragraph" w:styleId="xl80" w:customStyle="true">
    <w:name w:val="xl80"/>
    <w:basedOn w:val="Normal"/>
    <w:uiPriority w:val="99"/>
    <w:rsid w:val="00B052E4"/>
    <w:pPr>
      <w:pBdr>
        <w:top w:val="single" w:color="auto" w:sz="4" w:space="0"/>
        <w:left w:val="single" w:color="auto" w:sz="4" w:space="0"/>
        <w:bottom w:val="single" w:color="auto" w:sz="4" w:space="0"/>
        <w:right w:val="single" w:color="auto" w:sz="4" w:space="0"/>
      </w:pBdr>
      <w:shd w:val="clear" w:color="auto" w:fill="FFC000"/>
      <w:spacing w:before="100" w:beforeAutospacing="true" w:after="100" w:afterAutospacing="true"/>
    </w:pPr>
    <w:rPr>
      <w:sz w:val="12"/>
      <w:szCs w:val="12"/>
      <w:lang w:val="en-GB" w:eastAsia="en-GB"/>
    </w:rPr>
  </w:style>
  <w:style w:type="paragraph" w:styleId="xl81" w:customStyle="true">
    <w:name w:val="xl81"/>
    <w:basedOn w:val="Normal"/>
    <w:uiPriority w:val="99"/>
    <w:rsid w:val="00B052E4"/>
    <w:pPr>
      <w:pBdr>
        <w:top w:val="single" w:color="auto" w:sz="4" w:space="0"/>
        <w:left w:val="single" w:color="auto" w:sz="4" w:space="0"/>
        <w:bottom w:val="single" w:color="auto" w:sz="4" w:space="0"/>
        <w:right w:val="single" w:color="auto" w:sz="4" w:space="0"/>
      </w:pBdr>
      <w:shd w:val="clear" w:color="auto" w:fill="FFC000"/>
      <w:spacing w:before="100" w:beforeAutospacing="true" w:after="100" w:afterAutospacing="true"/>
    </w:pPr>
    <w:rPr>
      <w:sz w:val="12"/>
      <w:szCs w:val="12"/>
      <w:lang w:val="en-GB" w:eastAsia="en-GB"/>
    </w:rPr>
  </w:style>
  <w:style w:type="paragraph" w:styleId="xl82" w:customStyle="true">
    <w:name w:val="xl82"/>
    <w:basedOn w:val="Normal"/>
    <w:uiPriority w:val="99"/>
    <w:rsid w:val="00B052E4"/>
    <w:pPr>
      <w:pBdr>
        <w:top w:val="single" w:color="auto" w:sz="4" w:space="0"/>
        <w:left w:val="single" w:color="auto" w:sz="4" w:space="0"/>
        <w:bottom w:val="single" w:color="auto" w:sz="4" w:space="0"/>
        <w:right w:val="single" w:color="auto" w:sz="4" w:space="0"/>
      </w:pBdr>
      <w:shd w:val="clear" w:color="auto" w:fill="FFC000"/>
      <w:spacing w:before="100" w:beforeAutospacing="true" w:after="100" w:afterAutospacing="true"/>
    </w:pPr>
    <w:rPr>
      <w:sz w:val="12"/>
      <w:szCs w:val="12"/>
      <w:lang w:val="en-GB" w:eastAsia="en-GB"/>
    </w:rPr>
  </w:style>
  <w:style w:type="paragraph" w:styleId="xl83" w:customStyle="true">
    <w:name w:val="xl83"/>
    <w:basedOn w:val="Normal"/>
    <w:uiPriority w:val="99"/>
    <w:rsid w:val="00B052E4"/>
    <w:pPr>
      <w:pBdr>
        <w:top w:val="single" w:color="auto" w:sz="4" w:space="0"/>
        <w:left w:val="single" w:color="auto" w:sz="4" w:space="0"/>
        <w:bottom w:val="single" w:color="auto" w:sz="4" w:space="0"/>
        <w:right w:val="single" w:color="auto" w:sz="4" w:space="0"/>
      </w:pBdr>
      <w:shd w:val="clear" w:color="auto" w:fill="FFC000"/>
      <w:spacing w:before="100" w:beforeAutospacing="true" w:after="100" w:afterAutospacing="true"/>
    </w:pPr>
    <w:rPr>
      <w:sz w:val="12"/>
      <w:szCs w:val="12"/>
      <w:lang w:val="en-GB" w:eastAsia="en-GB"/>
    </w:rPr>
  </w:style>
  <w:style w:type="paragraph" w:styleId="xl84" w:customStyle="true">
    <w:name w:val="xl84"/>
    <w:basedOn w:val="Normal"/>
    <w:uiPriority w:val="99"/>
    <w:rsid w:val="00B052E4"/>
    <w:pPr>
      <w:pBdr>
        <w:top w:val="single" w:color="auto" w:sz="4" w:space="0"/>
        <w:left w:val="single" w:color="auto" w:sz="4" w:space="0"/>
        <w:bottom w:val="single" w:color="auto" w:sz="4" w:space="0"/>
        <w:right w:val="single" w:color="auto" w:sz="4" w:space="0"/>
      </w:pBdr>
      <w:shd w:val="clear" w:color="auto" w:fill="FFC000"/>
      <w:spacing w:before="100" w:beforeAutospacing="true" w:after="100" w:afterAutospacing="true"/>
    </w:pPr>
    <w:rPr>
      <w:sz w:val="12"/>
      <w:szCs w:val="12"/>
      <w:lang w:val="en-GB" w:eastAsia="en-GB"/>
    </w:rPr>
  </w:style>
  <w:style w:type="paragraph" w:styleId="Clanak" w:customStyle="true">
    <w:name w:val="Clanak"/>
    <w:next w:val="Normal"/>
    <w:uiPriority w:val="99"/>
    <w:rsid w:val="00B052E4"/>
    <w:pPr>
      <w:widowControl w:val="false"/>
      <w:autoSpaceDE w:val="false"/>
      <w:autoSpaceDN w:val="false"/>
      <w:adjustRightInd w:val="false"/>
      <w:spacing w:before="86" w:after="43"/>
      <w:jc w:val="center"/>
    </w:pPr>
    <w:rPr>
      <w:rFonts w:ascii="Times-NewRoman" w:hAnsi="Times-NewRoman"/>
      <w:sz w:val="19"/>
      <w:szCs w:val="19"/>
      <w:lang w:val="en-US" w:eastAsia="en-US"/>
    </w:rPr>
  </w:style>
  <w:style w:type="character" w:styleId="blokiranistaknuto" w:customStyle="true">
    <w:name w:val="blokiranistaknuto"/>
    <w:rsid w:val="00B052E4"/>
    <w:rPr>
      <w:b/>
      <w:bCs/>
      <w:caps/>
      <w:sz w:val="17"/>
      <w:szCs w:val="17"/>
    </w:rPr>
  </w:style>
  <w:style w:type="character" w:styleId="Naslov4Char" w:customStyle="true">
    <w:name w:val="Naslov 4 Char"/>
    <w:basedOn w:val="Zadanifontodlomka"/>
    <w:link w:val="Naslov4"/>
    <w:rsid w:val="00BC4BBA"/>
    <w:rPr>
      <w:b/>
      <w:bCs/>
      <w:sz w:val="24"/>
      <w:szCs w:val="24"/>
    </w:rPr>
  </w:style>
  <w:style w:type="character" w:styleId="Naslov5Char" w:customStyle="true">
    <w:name w:val="Naslov 5 Char"/>
    <w:basedOn w:val="Zadanifontodlomka"/>
    <w:link w:val="Naslov5"/>
    <w:rsid w:val="00BC4BBA"/>
    <w:rPr>
      <w:b/>
      <w:bCs/>
      <w:sz w:val="24"/>
      <w:szCs w:val="24"/>
    </w:rPr>
  </w:style>
  <w:style w:type="character" w:styleId="Naslov6Char" w:customStyle="true">
    <w:name w:val="Naslov 6 Char"/>
    <w:basedOn w:val="Zadanifontodlomka"/>
    <w:link w:val="Naslov6"/>
    <w:rsid w:val="00BC4BBA"/>
    <w:rPr>
      <w:b/>
      <w:bCs/>
      <w:sz w:val="24"/>
      <w:szCs w:val="24"/>
    </w:rPr>
  </w:style>
  <w:style w:type="table" w:styleId="Reetkatablice">
    <w:name w:val="Table Grid"/>
    <w:basedOn w:val="Obinatablica"/>
    <w:rsid w:val="00BC4BBA"/>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Obinitekst">
    <w:name w:val="Plain Text"/>
    <w:basedOn w:val="Normal"/>
    <w:link w:val="ObinitekstChar"/>
    <w:uiPriority w:val="99"/>
    <w:rsid w:val="00BC4BBA"/>
    <w:rPr>
      <w:rFonts w:ascii="Courier New" w:hAnsi="Courier New" w:cs="Courier New"/>
      <w:sz w:val="20"/>
      <w:szCs w:val="20"/>
      <w:lang w:eastAsia="hr-HR"/>
    </w:rPr>
  </w:style>
  <w:style w:type="character" w:styleId="ObinitekstChar" w:customStyle="true">
    <w:name w:val="Obični tekst Char"/>
    <w:basedOn w:val="Zadanifontodlomka"/>
    <w:link w:val="Obinitekst"/>
    <w:uiPriority w:val="99"/>
    <w:rsid w:val="00BC4BBA"/>
    <w:rPr>
      <w:rFonts w:ascii="Courier New" w:hAnsi="Courier New" w:cs="Courier New"/>
    </w:rPr>
  </w:style>
  <w:style w:type="character" w:styleId="Neupadljivoisticanje">
    <w:name w:val="Subtle Emphasis"/>
    <w:uiPriority w:val="19"/>
    <w:qFormat/>
    <w:rsid w:val="00BC4BBA"/>
    <w:rPr>
      <w:i/>
      <w:iCs/>
      <w:color w:val="404040"/>
    </w:rPr>
  </w:style>
  <w:style w:type="character" w:styleId="UvuenotijelotekstaChar" w:customStyle="true">
    <w:name w:val="Uvučeno tijelo teksta Char"/>
    <w:basedOn w:val="Zadanifontodlomka"/>
    <w:link w:val="Uvuenotijeloteksta"/>
    <w:rsid w:val="00BC4BBA"/>
    <w:rPr>
      <w:sz w:val="24"/>
      <w:szCs w:val="24"/>
    </w:rPr>
  </w:style>
  <w:style w:type="paragraph" w:styleId="Uvuenotijeloteksta">
    <w:name w:val="Body Text Indent"/>
    <w:basedOn w:val="Normal"/>
    <w:link w:val="UvuenotijelotekstaChar"/>
    <w:rsid w:val="00BC4BBA"/>
    <w:pPr>
      <w:ind w:left="708" w:hanging="708"/>
    </w:pPr>
    <w:rPr>
      <w:lang w:eastAsia="hr-HR"/>
    </w:rPr>
  </w:style>
  <w:style w:type="character" w:styleId="BodyTextIndentChar1" w:customStyle="true">
    <w:name w:val="Body Text Indent Char1"/>
    <w:basedOn w:val="Zadanifontodlomka"/>
    <w:rsid w:val="00BC4BBA"/>
    <w:rPr>
      <w:sz w:val="24"/>
      <w:szCs w:val="24"/>
      <w:lang w:eastAsia="en-US"/>
    </w:rPr>
  </w:style>
  <w:style w:type="paragraph" w:styleId="Naslov">
    <w:name w:val="Title"/>
    <w:basedOn w:val="Normal"/>
    <w:link w:val="NaslovChar"/>
    <w:qFormat/>
    <w:rsid w:val="00BC4BBA"/>
    <w:pPr>
      <w:jc w:val="center"/>
    </w:pPr>
    <w:rPr>
      <w:sz w:val="40"/>
      <w:lang w:eastAsia="hr-HR"/>
    </w:rPr>
  </w:style>
  <w:style w:type="character" w:styleId="NaslovChar" w:customStyle="true">
    <w:name w:val="Naslov Char"/>
    <w:basedOn w:val="Zadanifontodlomka"/>
    <w:link w:val="Naslov"/>
    <w:rsid w:val="00BC4BBA"/>
    <w:rPr>
      <w:sz w:val="40"/>
      <w:szCs w:val="24"/>
    </w:rPr>
  </w:style>
  <w:style w:type="paragraph" w:styleId="STIL" w:customStyle="true">
    <w:name w:val="STIL &quot;"/>
    <w:basedOn w:val="Normal"/>
    <w:qFormat/>
    <w:rsid w:val="00BC4BBA"/>
    <w:pPr>
      <w:pBdr>
        <w:between w:val="single" w:color="0000FF" w:sz="4" w:space="1"/>
      </w:pBdr>
      <w:tabs>
        <w:tab w:val="center" w:pos="4536"/>
        <w:tab w:val="right" w:pos="9072"/>
      </w:tabs>
      <w:jc w:val="center"/>
    </w:pPr>
    <w:rPr>
      <w:color w:val="0000FF"/>
      <w:sz w:val="28"/>
      <w:szCs w:val="28"/>
      <w:lang w:eastAsia="hr-HR"/>
    </w:rPr>
  </w:style>
  <w:style w:type="numbering" w:styleId="NoList1" w:customStyle="true">
    <w:name w:val="No List1"/>
    <w:next w:val="Bezpopisa"/>
    <w:uiPriority w:val="99"/>
    <w:semiHidden/>
    <w:unhideWhenUsed/>
    <w:rsid w:val="00BC4BBA"/>
  </w:style>
  <w:style w:type="character" w:styleId="Brojstranice">
    <w:name w:val="page number"/>
    <w:basedOn w:val="Zadanifontodlomka"/>
    <w:uiPriority w:val="99"/>
    <w:unhideWhenUsed/>
    <w:rsid w:val="00BC4BBA"/>
  </w:style>
  <w:style w:type="character" w:styleId="Absatz-Standardschriftart" w:customStyle="true">
    <w:name w:val="Absatz-Standardschriftart"/>
    <w:rsid w:val="00BC4BBA"/>
  </w:style>
  <w:style w:type="character" w:styleId="WW-Absatz-Standardschriftart" w:customStyle="true">
    <w:name w:val="WW-Absatz-Standardschriftart"/>
    <w:rsid w:val="00BC4BBA"/>
  </w:style>
  <w:style w:type="character" w:styleId="WW-Absatz-Standardschriftart1" w:customStyle="true">
    <w:name w:val="WW-Absatz-Standardschriftart1"/>
    <w:rsid w:val="00BC4BBA"/>
  </w:style>
  <w:style w:type="character" w:styleId="WW-Absatz-Standardschriftart11" w:customStyle="true">
    <w:name w:val="WW-Absatz-Standardschriftart11"/>
    <w:rsid w:val="00BC4BBA"/>
  </w:style>
  <w:style w:type="character" w:styleId="WW-Absatz-Standardschriftart111" w:customStyle="true">
    <w:name w:val="WW-Absatz-Standardschriftart111"/>
    <w:rsid w:val="00BC4BBA"/>
  </w:style>
  <w:style w:type="character" w:styleId="WW-Absatz-Standardschriftart1111" w:customStyle="true">
    <w:name w:val="WW-Absatz-Standardschriftart1111"/>
    <w:rsid w:val="00BC4BBA"/>
  </w:style>
  <w:style w:type="character" w:styleId="WW-Absatz-Standardschriftart11111" w:customStyle="true">
    <w:name w:val="WW-Absatz-Standardschriftart11111"/>
    <w:rsid w:val="00BC4BBA"/>
  </w:style>
  <w:style w:type="character" w:styleId="WW-Absatz-Standardschriftart111111" w:customStyle="true">
    <w:name w:val="WW-Absatz-Standardschriftart111111"/>
    <w:rsid w:val="00BC4BBA"/>
  </w:style>
  <w:style w:type="character" w:styleId="WW-Absatz-Standardschriftart1111111" w:customStyle="true">
    <w:name w:val="WW-Absatz-Standardschriftart1111111"/>
    <w:rsid w:val="00BC4BBA"/>
  </w:style>
  <w:style w:type="character" w:styleId="WW-Absatz-Standardschriftart11111111" w:customStyle="true">
    <w:name w:val="WW-Absatz-Standardschriftart11111111"/>
    <w:rsid w:val="00BC4BBA"/>
  </w:style>
  <w:style w:type="character" w:styleId="WW-Absatz-Standardschriftart111111111" w:customStyle="true">
    <w:name w:val="WW-Absatz-Standardschriftart111111111"/>
    <w:rsid w:val="00BC4BBA"/>
  </w:style>
  <w:style w:type="character" w:styleId="WW-Absatz-Standardschriftart1111111111" w:customStyle="true">
    <w:name w:val="WW-Absatz-Standardschriftart1111111111"/>
    <w:rsid w:val="00BC4BBA"/>
  </w:style>
  <w:style w:type="character" w:styleId="WW-Absatz-Standardschriftart11111111111" w:customStyle="true">
    <w:name w:val="WW-Absatz-Standardschriftart11111111111"/>
    <w:rsid w:val="00BC4BBA"/>
  </w:style>
  <w:style w:type="character" w:styleId="WW-Absatz-Standardschriftart111111111111" w:customStyle="true">
    <w:name w:val="WW-Absatz-Standardschriftart111111111111"/>
    <w:rsid w:val="00BC4BBA"/>
  </w:style>
  <w:style w:type="character" w:styleId="WW-Absatz-Standardschriftart1111111111111" w:customStyle="true">
    <w:name w:val="WW-Absatz-Standardschriftart1111111111111"/>
    <w:rsid w:val="00BC4BBA"/>
  </w:style>
  <w:style w:type="character" w:styleId="WW-Absatz-Standardschriftart11111111111111" w:customStyle="true">
    <w:name w:val="WW-Absatz-Standardschriftart11111111111111"/>
    <w:rsid w:val="00BC4BBA"/>
  </w:style>
  <w:style w:type="character" w:styleId="WW-Absatz-Standardschriftart111111111111111" w:customStyle="true">
    <w:name w:val="WW-Absatz-Standardschriftart111111111111111"/>
    <w:rsid w:val="00BC4BBA"/>
  </w:style>
  <w:style w:type="character" w:styleId="WW-Absatz-Standardschriftart1111111111111111" w:customStyle="true">
    <w:name w:val="WW-Absatz-Standardschriftart1111111111111111"/>
    <w:rsid w:val="00BC4BBA"/>
  </w:style>
  <w:style w:type="character" w:styleId="WW-Absatz-Standardschriftart11111111111111111" w:customStyle="true">
    <w:name w:val="WW-Absatz-Standardschriftart11111111111111111"/>
    <w:rsid w:val="00BC4BBA"/>
  </w:style>
  <w:style w:type="character" w:styleId="WW-Absatz-Standardschriftart111111111111111111" w:customStyle="true">
    <w:name w:val="WW-Absatz-Standardschriftart111111111111111111"/>
    <w:rsid w:val="00BC4BBA"/>
  </w:style>
  <w:style w:type="character" w:styleId="WW-Absatz-Standardschriftart1111111111111111111" w:customStyle="true">
    <w:name w:val="WW-Absatz-Standardschriftart1111111111111111111"/>
    <w:rsid w:val="00BC4BBA"/>
  </w:style>
  <w:style w:type="character" w:styleId="WW-Absatz-Standardschriftart11111111111111111111" w:customStyle="true">
    <w:name w:val="WW-Absatz-Standardschriftart11111111111111111111"/>
    <w:rsid w:val="00BC4BBA"/>
  </w:style>
  <w:style w:type="character" w:styleId="WW-Absatz-Standardschriftart111111111111111111111" w:customStyle="true">
    <w:name w:val="WW-Absatz-Standardschriftart111111111111111111111"/>
    <w:rsid w:val="00BC4BBA"/>
  </w:style>
  <w:style w:type="character" w:styleId="WW-Absatz-Standardschriftart1111111111111111111111" w:customStyle="true">
    <w:name w:val="WW-Absatz-Standardschriftart1111111111111111111111"/>
    <w:rsid w:val="00BC4BBA"/>
  </w:style>
  <w:style w:type="character" w:styleId="WW-Absatz-Standardschriftart11111111111111111111111" w:customStyle="true">
    <w:name w:val="WW-Absatz-Standardschriftart11111111111111111111111"/>
    <w:rsid w:val="00BC4BBA"/>
  </w:style>
  <w:style w:type="character" w:styleId="WW-Absatz-Standardschriftart111111111111111111111111" w:customStyle="true">
    <w:name w:val="WW-Absatz-Standardschriftart111111111111111111111111"/>
    <w:rsid w:val="00BC4BBA"/>
  </w:style>
  <w:style w:type="character" w:styleId="WW-Absatz-Standardschriftart1111111111111111111111111" w:customStyle="true">
    <w:name w:val="WW-Absatz-Standardschriftart1111111111111111111111111"/>
    <w:rsid w:val="00BC4BBA"/>
  </w:style>
  <w:style w:type="character" w:styleId="WW-Absatz-Standardschriftart11111111111111111111111111" w:customStyle="true">
    <w:name w:val="WW-Absatz-Standardschriftart11111111111111111111111111"/>
    <w:rsid w:val="00BC4BBA"/>
  </w:style>
  <w:style w:type="character" w:styleId="WW8Num1z0" w:customStyle="true">
    <w:name w:val="WW8Num1z0"/>
    <w:rsid w:val="00BC4BBA"/>
    <w:rPr>
      <w:rFonts w:ascii="Times New Roman" w:hAnsi="Times New Roman"/>
    </w:rPr>
  </w:style>
  <w:style w:type="character" w:styleId="WW8Num3z0" w:customStyle="true">
    <w:name w:val="WW8Num3z0"/>
    <w:rsid w:val="00BC4BBA"/>
    <w:rPr>
      <w:rFonts w:ascii="Times New Roman" w:hAnsi="Times New Roman"/>
    </w:rPr>
  </w:style>
  <w:style w:type="character" w:styleId="Zadanifontodlomka1" w:customStyle="true">
    <w:name w:val="Zadani font odlomka1"/>
    <w:rsid w:val="00BC4BBA"/>
  </w:style>
  <w:style w:type="paragraph" w:styleId="Naslov10" w:customStyle="true">
    <w:name w:val="Naslov1"/>
    <w:basedOn w:val="Normal"/>
    <w:next w:val="Tijeloteksta"/>
    <w:rsid w:val="00BC4BBA"/>
    <w:pPr>
      <w:keepNext/>
      <w:suppressAutoHyphens/>
      <w:spacing w:before="240" w:after="120"/>
    </w:pPr>
    <w:rPr>
      <w:rFonts w:ascii="Arial" w:hAnsi="Arial" w:eastAsia="SimSun" w:cs="Mangal"/>
      <w:sz w:val="28"/>
      <w:szCs w:val="28"/>
      <w:lang w:eastAsia="ar-SA"/>
    </w:rPr>
  </w:style>
  <w:style w:type="paragraph" w:styleId="Popis">
    <w:name w:val="List"/>
    <w:basedOn w:val="Tijeloteksta"/>
    <w:rsid w:val="00BC4BBA"/>
    <w:pPr>
      <w:suppressAutoHyphens/>
    </w:pPr>
    <w:rPr>
      <w:rFonts w:ascii="HR-Arial" w:hAnsi="HR-Arial" w:cs="Mangal"/>
      <w:sz w:val="22"/>
      <w:szCs w:val="20"/>
      <w:lang w:eastAsia="ar-SA"/>
    </w:rPr>
  </w:style>
  <w:style w:type="paragraph" w:styleId="Opis" w:customStyle="true">
    <w:name w:val="Opis"/>
    <w:basedOn w:val="Normal"/>
    <w:rsid w:val="00BC4BBA"/>
    <w:pPr>
      <w:suppressLineNumbers/>
      <w:suppressAutoHyphens/>
      <w:spacing w:before="120" w:after="120"/>
    </w:pPr>
    <w:rPr>
      <w:rFonts w:ascii="HR-Arial" w:hAnsi="HR-Arial" w:cs="Mangal"/>
      <w:i/>
      <w:iCs/>
      <w:lang w:eastAsia="ar-SA"/>
    </w:rPr>
  </w:style>
  <w:style w:type="paragraph" w:styleId="Indeks" w:customStyle="true">
    <w:name w:val="Indeks"/>
    <w:basedOn w:val="Normal"/>
    <w:rsid w:val="00BC4BBA"/>
    <w:pPr>
      <w:suppressLineNumbers/>
      <w:suppressAutoHyphens/>
    </w:pPr>
    <w:rPr>
      <w:rFonts w:ascii="HR-Arial" w:hAnsi="HR-Arial" w:cs="Mangal"/>
      <w:sz w:val="22"/>
      <w:szCs w:val="20"/>
      <w:lang w:eastAsia="ar-SA"/>
    </w:rPr>
  </w:style>
  <w:style w:type="paragraph" w:styleId="Tekstbalonia1" w:customStyle="true">
    <w:name w:val="Tekst balončića1"/>
    <w:basedOn w:val="Normal"/>
    <w:rsid w:val="00BC4BBA"/>
    <w:pPr>
      <w:suppressAutoHyphens/>
    </w:pPr>
    <w:rPr>
      <w:rFonts w:ascii="Tahoma" w:hAnsi="Tahoma" w:cs="Tahoma"/>
      <w:sz w:val="16"/>
      <w:szCs w:val="16"/>
      <w:lang w:eastAsia="ar-SA"/>
    </w:rPr>
  </w:style>
  <w:style w:type="paragraph" w:styleId="Sadrajitablice" w:customStyle="true">
    <w:name w:val="Sadržaji tablice"/>
    <w:basedOn w:val="Normal"/>
    <w:rsid w:val="00BC4BBA"/>
    <w:pPr>
      <w:suppressLineNumbers/>
      <w:suppressAutoHyphens/>
    </w:pPr>
    <w:rPr>
      <w:rFonts w:ascii="HR-Arial" w:hAnsi="HR-Arial"/>
      <w:sz w:val="22"/>
      <w:szCs w:val="20"/>
      <w:lang w:eastAsia="ar-SA"/>
    </w:rPr>
  </w:style>
  <w:style w:type="paragraph" w:styleId="Naslovtablice" w:customStyle="true">
    <w:name w:val="Naslov tablice"/>
    <w:basedOn w:val="Sadrajitablice"/>
    <w:rsid w:val="00BC4BBA"/>
    <w:pPr>
      <w:jc w:val="center"/>
    </w:pPr>
    <w:rPr>
      <w:b/>
      <w:bCs/>
    </w:rPr>
  </w:style>
  <w:style w:type="character" w:styleId="Neupadljivareferenca">
    <w:name w:val="Subtle Reference"/>
    <w:uiPriority w:val="31"/>
    <w:qFormat/>
    <w:rsid w:val="00BC4BBA"/>
    <w:rPr>
      <w:smallCaps/>
      <w:color w:val="5A5A5A"/>
    </w:rPr>
  </w:style>
  <w:style w:type="paragraph" w:styleId="Standard" w:customStyle="true">
    <w:name w:val="Standard"/>
    <w:rsid w:val="00BC4BBA"/>
    <w:pPr>
      <w:widowControl w:val="false"/>
      <w:suppressAutoHyphens/>
      <w:autoSpaceDN w:val="false"/>
    </w:pPr>
    <w:rPr>
      <w:rFonts w:eastAsia="SimSun" w:cs="Arial"/>
      <w:kern w:val="3"/>
      <w:sz w:val="24"/>
      <w:szCs w:val="24"/>
      <w:lang w:eastAsia="zh-CN" w:bidi="hi-IN"/>
    </w:rPr>
  </w:style>
  <w:style w:type="paragraph" w:styleId="Srednjareetka21" w:customStyle="true">
    <w:name w:val="Srednja rešetka 21"/>
    <w:uiPriority w:val="99"/>
    <w:qFormat/>
    <w:rsid w:val="00F83F97"/>
    <w:rPr>
      <w:rFonts w:ascii="Courier New" w:hAnsi="Courier New"/>
      <w:sz w:val="24"/>
      <w:lang w:val="en-GB" w:eastAsia="en-US"/>
    </w:rPr>
  </w:style>
  <w:style w:type="character" w:styleId="apple-tab-span" w:customStyle="true">
    <w:name w:val="apple-tab-span"/>
    <w:basedOn w:val="Zadanifontodlomka"/>
    <w:rsid w:val="003422A5"/>
  </w:style>
  <w:style w:type="character" w:styleId="Tekstrezerviranogmjesta">
    <w:name w:val="Placeholder Text"/>
    <w:basedOn w:val="Zadanifontodlomka"/>
    <w:uiPriority w:val="99"/>
    <w:semiHidden/>
    <w:rsid w:val="00080C1F"/>
    <w:rPr>
      <w:color w:val="808080"/>
      <w:bdr w:val="none" w:color="auto" w:sz="0" w:space="0"/>
      <w:shd w:val="clear" w:color="auto" w:fill="auto"/>
    </w:rPr>
  </w:style>
  <w:style w:type="character" w:styleId="eSPISCCParagraphDefaultFont" w:customStyle="true">
    <w:name w:val="eSPIS_CC_Paragraph Default Font"/>
    <w:basedOn w:val="Zadanifontodlomka"/>
    <w:rsid w:val="00080C1F"/>
    <w:rPr>
      <w:rFonts w:ascii="Times New Roman" w:hAnsi="Times New Roman" w:cs="Times New Roman"/>
      <w:b/>
      <w:sz w:val="24"/>
      <w:bdr w:val="none" w:color="auto" w:sz="0" w:space="0"/>
      <w:shd w:val="clear" w:color="auto" w:fill="auto"/>
      <w:lang w:val="hr-HR"/>
    </w:rPr>
  </w:style>
  <w:style w:type="character" w:styleId="PozadinaSvijetloZuta" w:customStyle="true">
    <w:name w:val="Pozadina_SvijetloZuta"/>
    <w:basedOn w:val="Zadanifontodlomka"/>
    <w:rsid w:val="00080C1F"/>
    <w:rPr>
      <w:rFonts w:ascii="Sylfaen" w:hAnsi="Sylfaen"/>
      <w:b/>
      <w:bdr w:val="none" w:color="auto" w:sz="0" w:space="0"/>
      <w:shd w:val="clear" w:color="auto" w:fill="FFFFCC"/>
      <w:lang w:val="hr-HR"/>
    </w:rPr>
  </w:style>
  <w:style w:type="character" w:styleId="PozadinaSvijetloCrvena" w:customStyle="true">
    <w:name w:val="Pozadina_SvijetloCrvena"/>
    <w:basedOn w:val="eSPISCCParagraphDefaultFont"/>
    <w:rsid w:val="00080C1F"/>
    <w:rPr>
      <w:rFonts w:ascii="Sylfaen" w:hAnsi="Sylfaen" w:cs="Times New Roman"/>
      <w:b w:val="false"/>
      <w:sz w:val="24"/>
      <w:bdr w:val="none" w:color="auto" w:sz="0" w:space="0"/>
      <w:shd w:val="clear" w:color="auto" w:fill="FFCCCC"/>
      <w:lang w:val="hr-HR"/>
    </w:rPr>
  </w:style>
  <w:style w:type="character" w:styleId="PozadinaSvijetloZelena" w:customStyle="true">
    <w:name w:val="Pozadina_SvijetloZelena"/>
    <w:basedOn w:val="eSPISCCParagraphDefaultFont"/>
    <w:rsid w:val="00080C1F"/>
    <w:rPr>
      <w:rFonts w:ascii="Sylfaen" w:hAnsi="Sylfaen" w:cs="Times New Roman"/>
      <w:b w:val="false"/>
      <w:sz w:val="24"/>
      <w:bdr w:val="none" w:color="auto" w:sz="0" w:space="0"/>
      <w:shd w:val="clear" w:color="auto" w:fill="CCFFCC"/>
      <w:lang w:val="hr-HR"/>
    </w:rPr>
  </w:style>
  <w:style w:type="character" w:styleId="Istaknuto">
    <w:name w:val="Emphasis"/>
    <w:basedOn w:val="Zadanifontodlomka"/>
    <w:uiPriority w:val="20"/>
    <w:qFormat/>
    <w:rsid w:val="00A9290F"/>
    <w:rPr>
      <w:i/>
      <w:iCs/>
    </w:rPr>
  </w:style>
  <w:style w:type="character" w:styleId="Naglaeno">
    <w:name w:val="Strong"/>
    <w:basedOn w:val="Zadanifontodlomka"/>
    <w:uiPriority w:val="22"/>
    <w:qFormat/>
    <w:rsid w:val="00A9290F"/>
    <w:rPr>
      <w:b/>
      <w:bC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page number" w:uiPriority="99"/>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FollowedHyperlink" w:uiPriority="99"/>
    <w:lsdException w:name="Strong" w:qFormat="1" w:semiHidden="0" w:uiPriority="22" w:unhideWhenUsed="0"/>
    <w:lsdException w:name="Emphasis" w:qFormat="1" w:semiHidden="0" w:uiPriority="20" w:unhideWhenUsed="0"/>
    <w:lsdException w:name="Plain Text" w:uiPriority="99"/>
    <w:lsdException w:name="Normal (Web)" w:uiPriority="99"/>
    <w:lsdException w:name="No List" w:uiPriority="99"/>
    <w:lsdException w:name="Balloon Text" w:uiPriority="99"/>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lang w:eastAsia="en-US"/>
    </w:rPr>
  </w:style>
  <w:style w:styleId="Naslov1" w:type="paragraph">
    <w:name w:val="heading 1"/>
    <w:basedOn w:val="Normal"/>
    <w:next w:val="Normal"/>
    <w:link w:val="Naslov1Char"/>
    <w:qFormat/>
    <w:rsid w:val="00B052E4"/>
    <w:pPr>
      <w:keepNext/>
      <w:jc w:val="both"/>
      <w:outlineLvl w:val="0"/>
    </w:pPr>
    <w:rPr>
      <w:sz w:val="28"/>
      <w:szCs w:val="28"/>
    </w:rPr>
  </w:style>
  <w:style w:styleId="Naslov2" w:type="paragraph">
    <w:name w:val="heading 2"/>
    <w:basedOn w:val="Normal"/>
    <w:next w:val="Normal"/>
    <w:link w:val="Naslov2Char"/>
    <w:unhideWhenUsed/>
    <w:qFormat/>
    <w:rsid w:val="00B052E4"/>
    <w:pPr>
      <w:keepNext/>
      <w:outlineLvl w:val="1"/>
    </w:pPr>
    <w:rPr>
      <w:b/>
      <w:bCs/>
      <w:sz w:val="28"/>
      <w:szCs w:val="28"/>
    </w:rPr>
  </w:style>
  <w:style w:styleId="Naslov3" w:type="paragraph">
    <w:name w:val="heading 3"/>
    <w:basedOn w:val="Normal"/>
    <w:next w:val="Normal"/>
    <w:link w:val="Naslov3Char"/>
    <w:unhideWhenUsed/>
    <w:qFormat/>
    <w:rsid w:val="00B052E4"/>
    <w:pPr>
      <w:keepNext/>
      <w:jc w:val="both"/>
      <w:outlineLvl w:val="2"/>
    </w:pPr>
    <w:rPr>
      <w:b/>
      <w:bCs/>
      <w:sz w:val="28"/>
      <w:szCs w:val="28"/>
    </w:rPr>
  </w:style>
  <w:style w:styleId="Naslov4" w:type="paragraph">
    <w:name w:val="heading 4"/>
    <w:basedOn w:val="Normal"/>
    <w:next w:val="Normal"/>
    <w:link w:val="Naslov4Char"/>
    <w:qFormat/>
    <w:rsid w:val="00BC4BBA"/>
    <w:pPr>
      <w:keepNext/>
      <w:jc w:val="both"/>
      <w:outlineLvl w:val="3"/>
    </w:pPr>
    <w:rPr>
      <w:b/>
      <w:bCs/>
      <w:lang w:eastAsia="hr-HR"/>
    </w:rPr>
  </w:style>
  <w:style w:styleId="Naslov5" w:type="paragraph">
    <w:name w:val="heading 5"/>
    <w:basedOn w:val="Normal"/>
    <w:next w:val="Normal"/>
    <w:link w:val="Naslov5Char"/>
    <w:qFormat/>
    <w:rsid w:val="00BC4BBA"/>
    <w:pPr>
      <w:keepNext/>
      <w:ind w:hanging="708" w:left="708"/>
      <w:outlineLvl w:val="4"/>
    </w:pPr>
    <w:rPr>
      <w:b/>
      <w:bCs/>
      <w:lang w:eastAsia="hr-HR"/>
    </w:rPr>
  </w:style>
  <w:style w:styleId="Naslov6" w:type="paragraph">
    <w:name w:val="heading 6"/>
    <w:basedOn w:val="Normal"/>
    <w:next w:val="Normal"/>
    <w:link w:val="Naslov6Char"/>
    <w:qFormat/>
    <w:rsid w:val="00BC4BBA"/>
    <w:pPr>
      <w:keepNext/>
      <w:ind w:firstLine="708"/>
      <w:jc w:val="both"/>
      <w:outlineLvl w:val="5"/>
    </w:pPr>
    <w:rPr>
      <w:b/>
      <w:bCs/>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B052E4"/>
    <w:rPr>
      <w:sz w:val="28"/>
      <w:szCs w:val="28"/>
      <w:lang w:eastAsia="en-US"/>
    </w:rPr>
  </w:style>
  <w:style w:customStyle="1" w:styleId="Naslov2Char" w:type="character">
    <w:name w:val="Naslov 2 Char"/>
    <w:basedOn w:val="Zadanifontodlomka"/>
    <w:link w:val="Naslov2"/>
    <w:rsid w:val="00B052E4"/>
    <w:rPr>
      <w:b/>
      <w:bCs/>
      <w:sz w:val="28"/>
      <w:szCs w:val="28"/>
      <w:lang w:eastAsia="en-US"/>
    </w:rPr>
  </w:style>
  <w:style w:customStyle="1" w:styleId="Naslov3Char" w:type="character">
    <w:name w:val="Naslov 3 Char"/>
    <w:basedOn w:val="Zadanifontodlomka"/>
    <w:link w:val="Naslov3"/>
    <w:rsid w:val="00B052E4"/>
    <w:rPr>
      <w:b/>
      <w:bCs/>
      <w:sz w:val="28"/>
      <w:szCs w:val="28"/>
      <w:lang w:eastAsia="en-US"/>
    </w:rPr>
  </w:style>
  <w:style w:styleId="Zaglavlje" w:type="paragraph">
    <w:name w:val="header"/>
    <w:basedOn w:val="Normal"/>
    <w:link w:val="ZaglavljeChar"/>
    <w:uiPriority w:val="99"/>
    <w:rsid w:val="0029358B"/>
    <w:pPr>
      <w:tabs>
        <w:tab w:pos="4536" w:val="center"/>
        <w:tab w:pos="9072" w:val="right"/>
      </w:tabs>
    </w:pPr>
    <w:rPr>
      <w:lang w:val="en-US"/>
    </w:rPr>
  </w:style>
  <w:style w:customStyle="1" w:styleId="ZaglavljeChar" w:type="character">
    <w:name w:val="Zaglavlje Char"/>
    <w:link w:val="Zaglavlje"/>
    <w:uiPriority w:val="99"/>
    <w:rsid w:val="0029358B"/>
    <w:rPr>
      <w:sz w:val="24"/>
      <w:szCs w:val="24"/>
      <w:lang w:eastAsia="en-US" w:val="en-US"/>
    </w:rPr>
  </w:style>
  <w:style w:styleId="Podnoje" w:type="paragraph">
    <w:name w:val="footer"/>
    <w:basedOn w:val="Normal"/>
    <w:link w:val="PodnojeChar"/>
    <w:uiPriority w:val="99"/>
    <w:rsid w:val="0029358B"/>
    <w:pPr>
      <w:tabs>
        <w:tab w:pos="4536" w:val="center"/>
        <w:tab w:pos="9072" w:val="right"/>
      </w:tabs>
    </w:pPr>
    <w:rPr>
      <w:lang w:val="en-US"/>
    </w:rPr>
  </w:style>
  <w:style w:customStyle="1" w:styleId="PodnojeChar" w:type="character">
    <w:name w:val="Podnožje Char"/>
    <w:link w:val="Podnoje"/>
    <w:uiPriority w:val="99"/>
    <w:rsid w:val="0029358B"/>
    <w:rPr>
      <w:sz w:val="24"/>
      <w:szCs w:val="24"/>
      <w:lang w:eastAsia="en-US" w:val="en-US"/>
    </w:rPr>
  </w:style>
  <w:style w:styleId="Odlomakpopisa" w:type="paragraph">
    <w:name w:val="List Paragraph"/>
    <w:basedOn w:val="Normal"/>
    <w:uiPriority w:val="34"/>
    <w:qFormat/>
    <w:rsid w:val="007C1A57"/>
    <w:pPr>
      <w:ind w:left="708"/>
    </w:pPr>
  </w:style>
  <w:style w:styleId="Tekstbalonia" w:type="paragraph">
    <w:name w:val="Balloon Text"/>
    <w:basedOn w:val="Normal"/>
    <w:link w:val="TekstbaloniaChar"/>
    <w:uiPriority w:val="99"/>
    <w:rsid w:val="000F7D08"/>
    <w:rPr>
      <w:rFonts w:ascii="Tahoma" w:hAnsi="Tahoma"/>
      <w:sz w:val="16"/>
      <w:szCs w:val="16"/>
      <w:lang w:val="en-US"/>
    </w:rPr>
  </w:style>
  <w:style w:customStyle="1" w:styleId="TekstbaloniaChar" w:type="character">
    <w:name w:val="Tekst balončića Char"/>
    <w:link w:val="Tekstbalonia"/>
    <w:uiPriority w:val="99"/>
    <w:rsid w:val="000F7D08"/>
    <w:rPr>
      <w:rFonts w:ascii="Tahoma" w:cs="Tahoma" w:hAnsi="Tahoma"/>
      <w:sz w:val="16"/>
      <w:szCs w:val="16"/>
      <w:lang w:eastAsia="en-US" w:val="en-US"/>
    </w:rPr>
  </w:style>
  <w:style w:customStyle="1" w:styleId="tabletextfield" w:type="character">
    <w:name w:val="table_text_field"/>
    <w:basedOn w:val="Zadanifontodlomka"/>
    <w:rsid w:val="0079136A"/>
  </w:style>
  <w:style w:customStyle="1" w:styleId="tabletitle2" w:type="character">
    <w:name w:val="table_title2"/>
    <w:basedOn w:val="Zadanifontodlomka"/>
    <w:rsid w:val="00DF08D0"/>
  </w:style>
  <w:style w:styleId="Hiperveza" w:type="character">
    <w:name w:val="Hyperlink"/>
    <w:basedOn w:val="Zadanifontodlomka"/>
    <w:rsid w:val="003F61B4"/>
    <w:rPr>
      <w:color w:val="0000FF"/>
      <w:u w:val="single"/>
    </w:rPr>
  </w:style>
  <w:style w:styleId="StandardWeb" w:type="paragraph">
    <w:name w:val="Normal (Web)"/>
    <w:basedOn w:val="Normal"/>
    <w:uiPriority w:val="99"/>
    <w:unhideWhenUsed/>
    <w:rsid w:val="008264BF"/>
    <w:pPr>
      <w:spacing w:after="100" w:afterAutospacing="1" w:before="100" w:beforeAutospacing="1"/>
    </w:pPr>
    <w:rPr>
      <w:lang w:eastAsia="hr-HR"/>
    </w:rPr>
  </w:style>
  <w:style w:styleId="SlijeenaHiperveza" w:type="character">
    <w:name w:val="FollowedHyperlink"/>
    <w:uiPriority w:val="99"/>
    <w:unhideWhenUsed/>
    <w:rsid w:val="00B052E4"/>
    <w:rPr>
      <w:color w:val="954F72"/>
      <w:u w:val="single"/>
    </w:rPr>
  </w:style>
  <w:style w:styleId="Tijeloteksta" w:type="paragraph">
    <w:name w:val="Body Text"/>
    <w:basedOn w:val="Normal"/>
    <w:link w:val="TijelotekstaChar"/>
    <w:unhideWhenUsed/>
    <w:rsid w:val="00B052E4"/>
    <w:pPr>
      <w:jc w:val="both"/>
    </w:pPr>
  </w:style>
  <w:style w:customStyle="1" w:styleId="TijelotekstaChar" w:type="character">
    <w:name w:val="Tijelo teksta Char"/>
    <w:basedOn w:val="Zadanifontodlomka"/>
    <w:link w:val="Tijeloteksta"/>
    <w:rsid w:val="00B052E4"/>
    <w:rPr>
      <w:sz w:val="24"/>
      <w:szCs w:val="24"/>
      <w:lang w:eastAsia="en-US"/>
    </w:rPr>
  </w:style>
  <w:style w:styleId="Bezproreda" w:type="paragraph">
    <w:name w:val="No Spacing"/>
    <w:uiPriority w:val="1"/>
    <w:qFormat/>
    <w:rsid w:val="00B052E4"/>
    <w:rPr>
      <w:rFonts w:ascii="Calibri" w:eastAsia="Calibri" w:hAnsi="Calibri"/>
      <w:sz w:val="22"/>
      <w:szCs w:val="22"/>
      <w:lang w:eastAsia="en-US"/>
    </w:rPr>
  </w:style>
  <w:style w:customStyle="1" w:styleId="ColorfulList-Accent11" w:type="paragraph">
    <w:name w:val="Colorful List - Accent 11"/>
    <w:basedOn w:val="Normal"/>
    <w:uiPriority w:val="34"/>
    <w:qFormat/>
    <w:rsid w:val="00B052E4"/>
    <w:pPr>
      <w:ind w:left="708"/>
    </w:pPr>
  </w:style>
  <w:style w:customStyle="1" w:styleId="MediumGrid21" w:type="paragraph">
    <w:name w:val="Medium Grid 21"/>
    <w:uiPriority w:val="1"/>
    <w:qFormat/>
    <w:rsid w:val="00B052E4"/>
    <w:rPr>
      <w:rFonts w:ascii="Calibri" w:eastAsia="Calibri" w:hAnsi="Calibri"/>
      <w:sz w:val="22"/>
      <w:szCs w:val="22"/>
      <w:lang w:eastAsia="en-US"/>
    </w:rPr>
  </w:style>
  <w:style w:customStyle="1" w:styleId="msolistparagraph0" w:type="paragraph">
    <w:name w:val="msolistparagraph"/>
    <w:basedOn w:val="Normal"/>
    <w:uiPriority w:val="99"/>
    <w:rsid w:val="00B052E4"/>
    <w:pPr>
      <w:ind w:left="720"/>
    </w:pPr>
    <w:rPr>
      <w:rFonts w:ascii="Calibri" w:hAnsi="Calibri"/>
      <w:sz w:val="22"/>
      <w:szCs w:val="22"/>
      <w:lang w:eastAsia="hr-HR"/>
    </w:rPr>
  </w:style>
  <w:style w:customStyle="1" w:styleId="NoSpacing2" w:type="paragraph">
    <w:name w:val="No Spacing2"/>
    <w:uiPriority w:val="1"/>
    <w:qFormat/>
    <w:rsid w:val="00B052E4"/>
    <w:rPr>
      <w:rFonts w:ascii="Calibri" w:eastAsia="Calibri" w:hAnsi="Calibri"/>
      <w:sz w:val="22"/>
      <w:szCs w:val="22"/>
      <w:lang w:eastAsia="en-US"/>
    </w:rPr>
  </w:style>
  <w:style w:customStyle="1" w:styleId="MediumGrid22" w:type="paragraph">
    <w:name w:val="Medium Grid 22"/>
    <w:uiPriority w:val="1"/>
    <w:qFormat/>
    <w:rsid w:val="00B052E4"/>
    <w:rPr>
      <w:rFonts w:ascii="Calibri" w:eastAsia="Calibri" w:hAnsi="Calibri"/>
      <w:sz w:val="22"/>
      <w:szCs w:val="22"/>
      <w:lang w:eastAsia="en-US"/>
    </w:rPr>
  </w:style>
  <w:style w:customStyle="1" w:styleId="NoSpacing1" w:type="paragraph">
    <w:name w:val="No Spacing1"/>
    <w:qFormat/>
    <w:rsid w:val="00B052E4"/>
    <w:rPr>
      <w:rFonts w:ascii="Calibri" w:eastAsia="Calibri" w:hAnsi="Calibri"/>
      <w:sz w:val="22"/>
      <w:szCs w:val="22"/>
      <w:lang w:eastAsia="en-US"/>
    </w:rPr>
  </w:style>
  <w:style w:customStyle="1" w:styleId="Default" w:type="paragraph">
    <w:name w:val="Default"/>
    <w:uiPriority w:val="99"/>
    <w:rsid w:val="00B052E4"/>
    <w:pPr>
      <w:autoSpaceDE w:val="0"/>
      <w:autoSpaceDN w:val="0"/>
      <w:adjustRightInd w:val="0"/>
    </w:pPr>
    <w:rPr>
      <w:rFonts w:ascii="Calibri" w:cs="Calibri" w:hAnsi="Calibri"/>
      <w:color w:val="000000"/>
      <w:sz w:val="24"/>
      <w:szCs w:val="24"/>
    </w:rPr>
  </w:style>
  <w:style w:customStyle="1" w:styleId="msonormal0" w:type="paragraph">
    <w:name w:val="msonormal"/>
    <w:basedOn w:val="Normal"/>
    <w:uiPriority w:val="99"/>
    <w:rsid w:val="00B052E4"/>
    <w:pPr>
      <w:spacing w:after="100" w:afterAutospacing="1" w:before="100" w:beforeAutospacing="1"/>
    </w:pPr>
    <w:rPr>
      <w:lang w:eastAsia="en-GB" w:val="en-GB"/>
    </w:rPr>
  </w:style>
  <w:style w:customStyle="1" w:styleId="font5" w:type="paragraph">
    <w:name w:val="font5"/>
    <w:basedOn w:val="Normal"/>
    <w:uiPriority w:val="99"/>
    <w:rsid w:val="00B052E4"/>
    <w:pPr>
      <w:spacing w:after="100" w:afterAutospacing="1" w:before="100" w:beforeAutospacing="1"/>
    </w:pPr>
    <w:rPr>
      <w:rFonts w:ascii="Tahoma" w:cs="Tahoma" w:hAnsi="Tahoma"/>
      <w:color w:val="000000"/>
      <w:sz w:val="18"/>
      <w:szCs w:val="18"/>
      <w:lang w:eastAsia="en-GB" w:val="en-GB"/>
    </w:rPr>
  </w:style>
  <w:style w:customStyle="1" w:styleId="font6" w:type="paragraph">
    <w:name w:val="font6"/>
    <w:basedOn w:val="Normal"/>
    <w:uiPriority w:val="99"/>
    <w:rsid w:val="00B052E4"/>
    <w:pPr>
      <w:spacing w:after="100" w:afterAutospacing="1" w:before="100" w:beforeAutospacing="1"/>
    </w:pPr>
    <w:rPr>
      <w:rFonts w:ascii="Tahoma" w:cs="Tahoma" w:hAnsi="Tahoma"/>
      <w:b/>
      <w:bCs/>
      <w:color w:val="000000"/>
      <w:sz w:val="18"/>
      <w:szCs w:val="18"/>
      <w:lang w:eastAsia="en-GB" w:val="en-GB"/>
    </w:rPr>
  </w:style>
  <w:style w:customStyle="1" w:styleId="xl65" w:type="paragraph">
    <w:name w:val="xl65"/>
    <w:basedOn w:val="Normal"/>
    <w:uiPriority w:val="99"/>
    <w:rsid w:val="00B052E4"/>
    <w:pPr>
      <w:pBdr>
        <w:top w:color="auto" w:space="0" w:sz="4" w:val="single"/>
        <w:left w:color="auto" w:space="0" w:sz="4" w:val="single"/>
        <w:bottom w:color="auto" w:space="0" w:sz="4" w:val="single"/>
        <w:right w:color="auto" w:space="0" w:sz="4" w:val="single"/>
      </w:pBdr>
      <w:shd w:color="auto" w:fill="FFD966" w:val="clear"/>
      <w:spacing w:after="100" w:afterAutospacing="1" w:before="100" w:beforeAutospacing="1"/>
    </w:pPr>
    <w:rPr>
      <w:sz w:val="12"/>
      <w:szCs w:val="12"/>
      <w:lang w:eastAsia="en-GB" w:val="en-GB"/>
    </w:rPr>
  </w:style>
  <w:style w:customStyle="1" w:styleId="xl66" w:type="paragraph">
    <w:name w:val="xl66"/>
    <w:basedOn w:val="Normal"/>
    <w:uiPriority w:val="99"/>
    <w:rsid w:val="00B052E4"/>
    <w:pPr>
      <w:pBdr>
        <w:top w:color="auto" w:space="0" w:sz="4" w:val="single"/>
        <w:left w:color="auto" w:space="0" w:sz="4" w:val="single"/>
        <w:bottom w:color="auto" w:space="0" w:sz="4" w:val="single"/>
        <w:right w:color="auto" w:space="0" w:sz="4" w:val="single"/>
      </w:pBdr>
      <w:spacing w:after="100" w:afterAutospacing="1" w:before="100" w:beforeAutospacing="1"/>
    </w:pPr>
    <w:rPr>
      <w:sz w:val="12"/>
      <w:szCs w:val="12"/>
      <w:lang w:eastAsia="en-GB" w:val="en-GB"/>
    </w:rPr>
  </w:style>
  <w:style w:customStyle="1" w:styleId="xl67" w:type="paragraph">
    <w:name w:val="xl67"/>
    <w:basedOn w:val="Normal"/>
    <w:uiPriority w:val="99"/>
    <w:rsid w:val="00B052E4"/>
    <w:pPr>
      <w:spacing w:after="100" w:afterAutospacing="1" w:before="100" w:beforeAutospacing="1"/>
    </w:pPr>
    <w:rPr>
      <w:sz w:val="12"/>
      <w:szCs w:val="12"/>
      <w:lang w:eastAsia="en-GB" w:val="en-GB"/>
    </w:rPr>
  </w:style>
  <w:style w:customStyle="1" w:styleId="xl68" w:type="paragraph">
    <w:name w:val="xl68"/>
    <w:basedOn w:val="Normal"/>
    <w:uiPriority w:val="99"/>
    <w:rsid w:val="00B052E4"/>
    <w:pPr>
      <w:pBdr>
        <w:top w:color="auto" w:space="0" w:sz="4" w:val="single"/>
        <w:left w:color="auto" w:space="0" w:sz="4" w:val="single"/>
        <w:bottom w:color="auto" w:space="0" w:sz="4" w:val="single"/>
        <w:right w:color="auto" w:space="0" w:sz="4" w:val="single"/>
      </w:pBdr>
      <w:spacing w:after="100" w:afterAutospacing="1" w:before="100" w:beforeAutospacing="1"/>
    </w:pPr>
    <w:rPr>
      <w:sz w:val="12"/>
      <w:szCs w:val="12"/>
      <w:lang w:eastAsia="en-GB" w:val="en-GB"/>
    </w:rPr>
  </w:style>
  <w:style w:customStyle="1" w:styleId="xl69" w:type="paragraph">
    <w:name w:val="xl69"/>
    <w:basedOn w:val="Normal"/>
    <w:uiPriority w:val="99"/>
    <w:rsid w:val="00B052E4"/>
    <w:pPr>
      <w:spacing w:after="100" w:afterAutospacing="1" w:before="100" w:beforeAutospacing="1"/>
    </w:pPr>
    <w:rPr>
      <w:sz w:val="12"/>
      <w:szCs w:val="12"/>
      <w:lang w:eastAsia="en-GB" w:val="en-GB"/>
    </w:rPr>
  </w:style>
  <w:style w:customStyle="1" w:styleId="xl70" w:type="paragraph">
    <w:name w:val="xl70"/>
    <w:basedOn w:val="Normal"/>
    <w:uiPriority w:val="99"/>
    <w:rsid w:val="00B052E4"/>
    <w:pPr>
      <w:pBdr>
        <w:top w:color="auto" w:space="0" w:sz="4" w:val="single"/>
        <w:left w:color="auto" w:space="0" w:sz="4" w:val="single"/>
        <w:bottom w:color="auto" w:space="0" w:sz="4" w:val="single"/>
        <w:right w:color="auto" w:space="0" w:sz="4" w:val="single"/>
      </w:pBdr>
      <w:spacing w:after="100" w:afterAutospacing="1" w:before="100" w:beforeAutospacing="1"/>
    </w:pPr>
    <w:rPr>
      <w:sz w:val="12"/>
      <w:szCs w:val="12"/>
      <w:lang w:eastAsia="en-GB" w:val="en-GB"/>
    </w:rPr>
  </w:style>
  <w:style w:customStyle="1" w:styleId="xl71" w:type="paragraph">
    <w:name w:val="xl71"/>
    <w:basedOn w:val="Normal"/>
    <w:uiPriority w:val="99"/>
    <w:rsid w:val="00B052E4"/>
    <w:pPr>
      <w:spacing w:after="100" w:afterAutospacing="1" w:before="100" w:beforeAutospacing="1"/>
    </w:pPr>
    <w:rPr>
      <w:sz w:val="12"/>
      <w:szCs w:val="12"/>
      <w:lang w:eastAsia="en-GB" w:val="en-GB"/>
    </w:rPr>
  </w:style>
  <w:style w:customStyle="1" w:styleId="xl72" w:type="paragraph">
    <w:name w:val="xl72"/>
    <w:basedOn w:val="Normal"/>
    <w:uiPriority w:val="99"/>
    <w:rsid w:val="00B052E4"/>
    <w:pPr>
      <w:pBdr>
        <w:top w:color="auto" w:space="0" w:sz="4" w:val="single"/>
        <w:left w:color="auto" w:space="0" w:sz="4" w:val="single"/>
        <w:bottom w:color="auto" w:space="0" w:sz="4" w:val="single"/>
      </w:pBdr>
      <w:spacing w:after="100" w:afterAutospacing="1" w:before="100" w:beforeAutospacing="1"/>
    </w:pPr>
    <w:rPr>
      <w:sz w:val="12"/>
      <w:szCs w:val="12"/>
      <w:lang w:eastAsia="en-GB" w:val="en-GB"/>
    </w:rPr>
  </w:style>
  <w:style w:customStyle="1" w:styleId="xl73" w:type="paragraph">
    <w:name w:val="xl73"/>
    <w:basedOn w:val="Normal"/>
    <w:uiPriority w:val="99"/>
    <w:rsid w:val="00B052E4"/>
    <w:pPr>
      <w:pBdr>
        <w:top w:color="auto" w:space="0" w:sz="4" w:val="single"/>
        <w:left w:color="auto" w:space="0" w:sz="4" w:val="single"/>
        <w:right w:color="auto" w:space="0" w:sz="4" w:val="single"/>
      </w:pBdr>
      <w:shd w:color="auto" w:fill="FFD966" w:val="clear"/>
      <w:spacing w:after="100" w:afterAutospacing="1" w:before="100" w:beforeAutospacing="1"/>
    </w:pPr>
    <w:rPr>
      <w:sz w:val="12"/>
      <w:szCs w:val="12"/>
      <w:lang w:eastAsia="en-GB" w:val="en-GB"/>
    </w:rPr>
  </w:style>
  <w:style w:customStyle="1" w:styleId="xl74" w:type="paragraph">
    <w:name w:val="xl74"/>
    <w:basedOn w:val="Normal"/>
    <w:uiPriority w:val="99"/>
    <w:rsid w:val="00B052E4"/>
    <w:pPr>
      <w:pBdr>
        <w:top w:color="auto" w:space="0" w:sz="4" w:val="single"/>
        <w:left w:color="auto" w:space="0" w:sz="4" w:val="single"/>
        <w:bottom w:color="auto" w:space="0" w:sz="4" w:val="single"/>
        <w:right w:color="auto" w:space="0" w:sz="4" w:val="single"/>
      </w:pBdr>
      <w:shd w:color="auto" w:fill="FFD966" w:val="clear"/>
      <w:spacing w:after="100" w:afterAutospacing="1" w:before="100" w:beforeAutospacing="1"/>
    </w:pPr>
    <w:rPr>
      <w:sz w:val="12"/>
      <w:szCs w:val="12"/>
      <w:lang w:eastAsia="en-GB" w:val="en-GB"/>
    </w:rPr>
  </w:style>
  <w:style w:customStyle="1" w:styleId="xl75" w:type="paragraph">
    <w:name w:val="xl75"/>
    <w:basedOn w:val="Normal"/>
    <w:uiPriority w:val="99"/>
    <w:rsid w:val="00B052E4"/>
    <w:pPr>
      <w:pBdr>
        <w:top w:color="auto" w:space="0" w:sz="4" w:val="single"/>
        <w:left w:color="auto" w:space="0" w:sz="4" w:val="single"/>
        <w:bottom w:color="auto" w:space="0" w:sz="4" w:val="single"/>
        <w:right w:color="auto" w:space="0" w:sz="4" w:val="single"/>
      </w:pBdr>
      <w:shd w:color="auto" w:fill="FFD966" w:val="clear"/>
      <w:spacing w:after="100" w:afterAutospacing="1" w:before="100" w:beforeAutospacing="1"/>
    </w:pPr>
    <w:rPr>
      <w:sz w:val="12"/>
      <w:szCs w:val="12"/>
      <w:lang w:eastAsia="en-GB" w:val="en-GB"/>
    </w:rPr>
  </w:style>
  <w:style w:customStyle="1" w:styleId="xl76" w:type="paragraph">
    <w:name w:val="xl76"/>
    <w:basedOn w:val="Normal"/>
    <w:uiPriority w:val="99"/>
    <w:rsid w:val="00B052E4"/>
    <w:pPr>
      <w:pBdr>
        <w:top w:color="auto" w:space="0" w:sz="4" w:val="single"/>
        <w:left w:color="auto" w:space="0" w:sz="4" w:val="single"/>
        <w:bottom w:color="auto" w:space="0" w:sz="4" w:val="single"/>
        <w:right w:color="auto" w:space="0" w:sz="4" w:val="single"/>
      </w:pBdr>
      <w:shd w:color="auto" w:fill="FF0000" w:val="clear"/>
      <w:spacing w:after="100" w:afterAutospacing="1" w:before="100" w:beforeAutospacing="1"/>
    </w:pPr>
    <w:rPr>
      <w:sz w:val="12"/>
      <w:szCs w:val="12"/>
      <w:lang w:eastAsia="en-GB" w:val="en-GB"/>
    </w:rPr>
  </w:style>
  <w:style w:customStyle="1" w:styleId="xl77" w:type="paragraph">
    <w:name w:val="xl77"/>
    <w:basedOn w:val="Normal"/>
    <w:uiPriority w:val="99"/>
    <w:rsid w:val="00B052E4"/>
    <w:pPr>
      <w:pBdr>
        <w:top w:color="auto" w:space="0" w:sz="4" w:val="single"/>
        <w:left w:color="auto" w:space="0" w:sz="4" w:val="single"/>
        <w:bottom w:color="auto" w:space="0" w:sz="4" w:val="single"/>
        <w:right w:color="auto" w:space="0" w:sz="4" w:val="single"/>
      </w:pBdr>
      <w:shd w:color="auto" w:fill="FFD966" w:val="clear"/>
      <w:spacing w:after="100" w:afterAutospacing="1" w:before="100" w:beforeAutospacing="1"/>
    </w:pPr>
    <w:rPr>
      <w:sz w:val="12"/>
      <w:szCs w:val="12"/>
      <w:lang w:eastAsia="en-GB" w:val="en-GB"/>
    </w:rPr>
  </w:style>
  <w:style w:customStyle="1" w:styleId="xl78" w:type="paragraph">
    <w:name w:val="xl78"/>
    <w:basedOn w:val="Normal"/>
    <w:uiPriority w:val="99"/>
    <w:rsid w:val="00B052E4"/>
    <w:pPr>
      <w:pBdr>
        <w:top w:color="auto" w:space="0" w:sz="4" w:val="single"/>
        <w:left w:color="auto" w:space="0" w:sz="4" w:val="single"/>
        <w:bottom w:color="auto" w:space="0" w:sz="4" w:val="single"/>
        <w:right w:color="auto" w:space="0" w:sz="4" w:val="single"/>
      </w:pBdr>
      <w:shd w:color="auto" w:fill="FFD966" w:val="clear"/>
      <w:spacing w:after="100" w:afterAutospacing="1" w:before="100" w:beforeAutospacing="1"/>
    </w:pPr>
    <w:rPr>
      <w:sz w:val="12"/>
      <w:szCs w:val="12"/>
      <w:lang w:eastAsia="en-GB" w:val="en-GB"/>
    </w:rPr>
  </w:style>
  <w:style w:customStyle="1" w:styleId="xl79" w:type="paragraph">
    <w:name w:val="xl79"/>
    <w:basedOn w:val="Normal"/>
    <w:uiPriority w:val="99"/>
    <w:rsid w:val="00B052E4"/>
    <w:pPr>
      <w:pBdr>
        <w:top w:color="auto" w:space="0" w:sz="4" w:val="single"/>
        <w:left w:color="auto" w:space="0" w:sz="4" w:val="single"/>
        <w:bottom w:color="auto" w:space="0" w:sz="4" w:val="single"/>
        <w:right w:color="auto" w:space="0" w:sz="4" w:val="single"/>
      </w:pBdr>
      <w:shd w:color="auto" w:fill="FFD966" w:val="clear"/>
      <w:spacing w:after="100" w:afterAutospacing="1" w:before="100" w:beforeAutospacing="1"/>
    </w:pPr>
    <w:rPr>
      <w:sz w:val="12"/>
      <w:szCs w:val="12"/>
      <w:lang w:eastAsia="en-GB" w:val="en-GB"/>
    </w:rPr>
  </w:style>
  <w:style w:customStyle="1" w:styleId="xl80" w:type="paragraph">
    <w:name w:val="xl80"/>
    <w:basedOn w:val="Normal"/>
    <w:uiPriority w:val="99"/>
    <w:rsid w:val="00B052E4"/>
    <w:pPr>
      <w:pBdr>
        <w:top w:color="auto" w:space="0" w:sz="4" w:val="single"/>
        <w:left w:color="auto" w:space="0" w:sz="4" w:val="single"/>
        <w:bottom w:color="auto" w:space="0" w:sz="4" w:val="single"/>
        <w:right w:color="auto" w:space="0" w:sz="4" w:val="single"/>
      </w:pBdr>
      <w:shd w:color="auto" w:fill="FFC000" w:val="clear"/>
      <w:spacing w:after="100" w:afterAutospacing="1" w:before="100" w:beforeAutospacing="1"/>
    </w:pPr>
    <w:rPr>
      <w:sz w:val="12"/>
      <w:szCs w:val="12"/>
      <w:lang w:eastAsia="en-GB" w:val="en-GB"/>
    </w:rPr>
  </w:style>
  <w:style w:customStyle="1" w:styleId="xl81" w:type="paragraph">
    <w:name w:val="xl81"/>
    <w:basedOn w:val="Normal"/>
    <w:uiPriority w:val="99"/>
    <w:rsid w:val="00B052E4"/>
    <w:pPr>
      <w:pBdr>
        <w:top w:color="auto" w:space="0" w:sz="4" w:val="single"/>
        <w:left w:color="auto" w:space="0" w:sz="4" w:val="single"/>
        <w:bottom w:color="auto" w:space="0" w:sz="4" w:val="single"/>
        <w:right w:color="auto" w:space="0" w:sz="4" w:val="single"/>
      </w:pBdr>
      <w:shd w:color="auto" w:fill="FFC000" w:val="clear"/>
      <w:spacing w:after="100" w:afterAutospacing="1" w:before="100" w:beforeAutospacing="1"/>
    </w:pPr>
    <w:rPr>
      <w:sz w:val="12"/>
      <w:szCs w:val="12"/>
      <w:lang w:eastAsia="en-GB" w:val="en-GB"/>
    </w:rPr>
  </w:style>
  <w:style w:customStyle="1" w:styleId="xl82" w:type="paragraph">
    <w:name w:val="xl82"/>
    <w:basedOn w:val="Normal"/>
    <w:uiPriority w:val="99"/>
    <w:rsid w:val="00B052E4"/>
    <w:pPr>
      <w:pBdr>
        <w:top w:color="auto" w:space="0" w:sz="4" w:val="single"/>
        <w:left w:color="auto" w:space="0" w:sz="4" w:val="single"/>
        <w:bottom w:color="auto" w:space="0" w:sz="4" w:val="single"/>
        <w:right w:color="auto" w:space="0" w:sz="4" w:val="single"/>
      </w:pBdr>
      <w:shd w:color="auto" w:fill="FFC000" w:val="clear"/>
      <w:spacing w:after="100" w:afterAutospacing="1" w:before="100" w:beforeAutospacing="1"/>
    </w:pPr>
    <w:rPr>
      <w:sz w:val="12"/>
      <w:szCs w:val="12"/>
      <w:lang w:eastAsia="en-GB" w:val="en-GB"/>
    </w:rPr>
  </w:style>
  <w:style w:customStyle="1" w:styleId="xl83" w:type="paragraph">
    <w:name w:val="xl83"/>
    <w:basedOn w:val="Normal"/>
    <w:uiPriority w:val="99"/>
    <w:rsid w:val="00B052E4"/>
    <w:pPr>
      <w:pBdr>
        <w:top w:color="auto" w:space="0" w:sz="4" w:val="single"/>
        <w:left w:color="auto" w:space="0" w:sz="4" w:val="single"/>
        <w:bottom w:color="auto" w:space="0" w:sz="4" w:val="single"/>
        <w:right w:color="auto" w:space="0" w:sz="4" w:val="single"/>
      </w:pBdr>
      <w:shd w:color="auto" w:fill="FFC000" w:val="clear"/>
      <w:spacing w:after="100" w:afterAutospacing="1" w:before="100" w:beforeAutospacing="1"/>
    </w:pPr>
    <w:rPr>
      <w:sz w:val="12"/>
      <w:szCs w:val="12"/>
      <w:lang w:eastAsia="en-GB" w:val="en-GB"/>
    </w:rPr>
  </w:style>
  <w:style w:customStyle="1" w:styleId="xl84" w:type="paragraph">
    <w:name w:val="xl84"/>
    <w:basedOn w:val="Normal"/>
    <w:uiPriority w:val="99"/>
    <w:rsid w:val="00B052E4"/>
    <w:pPr>
      <w:pBdr>
        <w:top w:color="auto" w:space="0" w:sz="4" w:val="single"/>
        <w:left w:color="auto" w:space="0" w:sz="4" w:val="single"/>
        <w:bottom w:color="auto" w:space="0" w:sz="4" w:val="single"/>
        <w:right w:color="auto" w:space="0" w:sz="4" w:val="single"/>
      </w:pBdr>
      <w:shd w:color="auto" w:fill="FFC000" w:val="clear"/>
      <w:spacing w:after="100" w:afterAutospacing="1" w:before="100" w:beforeAutospacing="1"/>
    </w:pPr>
    <w:rPr>
      <w:sz w:val="12"/>
      <w:szCs w:val="12"/>
      <w:lang w:eastAsia="en-GB" w:val="en-GB"/>
    </w:rPr>
  </w:style>
  <w:style w:customStyle="1" w:styleId="Clanak" w:type="paragraph">
    <w:name w:val="Clanak"/>
    <w:next w:val="Normal"/>
    <w:uiPriority w:val="99"/>
    <w:rsid w:val="00B052E4"/>
    <w:pPr>
      <w:widowControl w:val="0"/>
      <w:autoSpaceDE w:val="0"/>
      <w:autoSpaceDN w:val="0"/>
      <w:adjustRightInd w:val="0"/>
      <w:spacing w:after="43" w:before="86"/>
      <w:jc w:val="center"/>
    </w:pPr>
    <w:rPr>
      <w:rFonts w:ascii="Times-NewRoman" w:hAnsi="Times-NewRoman"/>
      <w:sz w:val="19"/>
      <w:szCs w:val="19"/>
      <w:lang w:eastAsia="en-US" w:val="en-US"/>
    </w:rPr>
  </w:style>
  <w:style w:customStyle="1" w:styleId="blokiranistaknuto" w:type="character">
    <w:name w:val="blokiranistaknuto"/>
    <w:rsid w:val="00B052E4"/>
    <w:rPr>
      <w:b/>
      <w:bCs/>
      <w:caps/>
      <w:sz w:val="17"/>
      <w:szCs w:val="17"/>
    </w:rPr>
  </w:style>
  <w:style w:customStyle="1" w:styleId="Naslov4Char" w:type="character">
    <w:name w:val="Naslov 4 Char"/>
    <w:basedOn w:val="Zadanifontodlomka"/>
    <w:link w:val="Naslov4"/>
    <w:rsid w:val="00BC4BBA"/>
    <w:rPr>
      <w:b/>
      <w:bCs/>
      <w:sz w:val="24"/>
      <w:szCs w:val="24"/>
    </w:rPr>
  </w:style>
  <w:style w:customStyle="1" w:styleId="Naslov5Char" w:type="character">
    <w:name w:val="Naslov 5 Char"/>
    <w:basedOn w:val="Zadanifontodlomka"/>
    <w:link w:val="Naslov5"/>
    <w:rsid w:val="00BC4BBA"/>
    <w:rPr>
      <w:b/>
      <w:bCs/>
      <w:sz w:val="24"/>
      <w:szCs w:val="24"/>
    </w:rPr>
  </w:style>
  <w:style w:customStyle="1" w:styleId="Naslov6Char" w:type="character">
    <w:name w:val="Naslov 6 Char"/>
    <w:basedOn w:val="Zadanifontodlomka"/>
    <w:link w:val="Naslov6"/>
    <w:rsid w:val="00BC4BBA"/>
    <w:rPr>
      <w:b/>
      <w:bCs/>
      <w:sz w:val="24"/>
      <w:szCs w:val="24"/>
    </w:rPr>
  </w:style>
  <w:style w:styleId="Reetkatablice" w:type="table">
    <w:name w:val="Table Grid"/>
    <w:basedOn w:val="Obinatablica"/>
    <w:rsid w:val="00BC4BBA"/>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Obinitekst" w:type="paragraph">
    <w:name w:val="Plain Text"/>
    <w:basedOn w:val="Normal"/>
    <w:link w:val="ObinitekstChar"/>
    <w:uiPriority w:val="99"/>
    <w:rsid w:val="00BC4BBA"/>
    <w:rPr>
      <w:rFonts w:ascii="Courier New" w:cs="Courier New" w:hAnsi="Courier New"/>
      <w:sz w:val="20"/>
      <w:szCs w:val="20"/>
      <w:lang w:eastAsia="hr-HR"/>
    </w:rPr>
  </w:style>
  <w:style w:customStyle="1" w:styleId="ObinitekstChar" w:type="character">
    <w:name w:val="Obični tekst Char"/>
    <w:basedOn w:val="Zadanifontodlomka"/>
    <w:link w:val="Obinitekst"/>
    <w:uiPriority w:val="99"/>
    <w:rsid w:val="00BC4BBA"/>
    <w:rPr>
      <w:rFonts w:ascii="Courier New" w:cs="Courier New" w:hAnsi="Courier New"/>
    </w:rPr>
  </w:style>
  <w:style w:styleId="Neupadljivoisticanje" w:type="character">
    <w:name w:val="Subtle Emphasis"/>
    <w:uiPriority w:val="19"/>
    <w:qFormat/>
    <w:rsid w:val="00BC4BBA"/>
    <w:rPr>
      <w:i/>
      <w:iCs/>
      <w:color w:val="404040"/>
    </w:rPr>
  </w:style>
  <w:style w:customStyle="1" w:styleId="UvuenotijelotekstaChar" w:type="character">
    <w:name w:val="Uvučeno tijelo teksta Char"/>
    <w:basedOn w:val="Zadanifontodlomka"/>
    <w:link w:val="Uvuenotijeloteksta"/>
    <w:rsid w:val="00BC4BBA"/>
    <w:rPr>
      <w:sz w:val="24"/>
      <w:szCs w:val="24"/>
    </w:rPr>
  </w:style>
  <w:style w:styleId="Uvuenotijeloteksta" w:type="paragraph">
    <w:name w:val="Body Text Indent"/>
    <w:basedOn w:val="Normal"/>
    <w:link w:val="UvuenotijelotekstaChar"/>
    <w:rsid w:val="00BC4BBA"/>
    <w:pPr>
      <w:ind w:hanging="708" w:left="708"/>
    </w:pPr>
    <w:rPr>
      <w:lang w:eastAsia="hr-HR"/>
    </w:rPr>
  </w:style>
  <w:style w:customStyle="1" w:styleId="BodyTextIndentChar1" w:type="character">
    <w:name w:val="Body Text Indent Char1"/>
    <w:basedOn w:val="Zadanifontodlomka"/>
    <w:rsid w:val="00BC4BBA"/>
    <w:rPr>
      <w:sz w:val="24"/>
      <w:szCs w:val="24"/>
      <w:lang w:eastAsia="en-US"/>
    </w:rPr>
  </w:style>
  <w:style w:styleId="Naslov" w:type="paragraph">
    <w:name w:val="Title"/>
    <w:basedOn w:val="Normal"/>
    <w:link w:val="NaslovChar"/>
    <w:qFormat/>
    <w:rsid w:val="00BC4BBA"/>
    <w:pPr>
      <w:jc w:val="center"/>
    </w:pPr>
    <w:rPr>
      <w:sz w:val="40"/>
      <w:lang w:eastAsia="hr-HR"/>
    </w:rPr>
  </w:style>
  <w:style w:customStyle="1" w:styleId="NaslovChar" w:type="character">
    <w:name w:val="Naslov Char"/>
    <w:basedOn w:val="Zadanifontodlomka"/>
    <w:link w:val="Naslov"/>
    <w:rsid w:val="00BC4BBA"/>
    <w:rPr>
      <w:sz w:val="40"/>
      <w:szCs w:val="24"/>
    </w:rPr>
  </w:style>
  <w:style w:customStyle="1" w:styleId="STIL" w:type="paragraph">
    <w:name w:val="STIL &quot;"/>
    <w:basedOn w:val="Normal"/>
    <w:qFormat/>
    <w:rsid w:val="00BC4BBA"/>
    <w:pPr>
      <w:pBdr>
        <w:between w:color="0000FF" w:space="1" w:sz="4" w:val="single"/>
      </w:pBdr>
      <w:tabs>
        <w:tab w:pos="4536" w:val="center"/>
        <w:tab w:pos="9072" w:val="right"/>
      </w:tabs>
      <w:jc w:val="center"/>
    </w:pPr>
    <w:rPr>
      <w:color w:val="0000FF"/>
      <w:sz w:val="28"/>
      <w:szCs w:val="28"/>
      <w:lang w:eastAsia="hr-HR"/>
    </w:rPr>
  </w:style>
  <w:style w:customStyle="1" w:styleId="NoList1" w:type="numbering">
    <w:name w:val="No List1"/>
    <w:next w:val="Bezpopisa"/>
    <w:uiPriority w:val="99"/>
    <w:semiHidden/>
    <w:unhideWhenUsed/>
    <w:rsid w:val="00BC4BBA"/>
  </w:style>
  <w:style w:styleId="Brojstranice" w:type="character">
    <w:name w:val="page number"/>
    <w:basedOn w:val="Zadanifontodlomka"/>
    <w:uiPriority w:val="99"/>
    <w:unhideWhenUsed/>
    <w:rsid w:val="00BC4BBA"/>
  </w:style>
  <w:style w:customStyle="1" w:styleId="Absatz-Standardschriftart" w:type="character">
    <w:name w:val="Absatz-Standardschriftart"/>
    <w:rsid w:val="00BC4BBA"/>
  </w:style>
  <w:style w:customStyle="1" w:styleId="WW-Absatz-Standardschriftart" w:type="character">
    <w:name w:val="WW-Absatz-Standardschriftart"/>
    <w:rsid w:val="00BC4BBA"/>
  </w:style>
  <w:style w:customStyle="1" w:styleId="WW-Absatz-Standardschriftart1" w:type="character">
    <w:name w:val="WW-Absatz-Standardschriftart1"/>
    <w:rsid w:val="00BC4BBA"/>
  </w:style>
  <w:style w:customStyle="1" w:styleId="WW-Absatz-Standardschriftart11" w:type="character">
    <w:name w:val="WW-Absatz-Standardschriftart11"/>
    <w:rsid w:val="00BC4BBA"/>
  </w:style>
  <w:style w:customStyle="1" w:styleId="WW-Absatz-Standardschriftart111" w:type="character">
    <w:name w:val="WW-Absatz-Standardschriftart111"/>
    <w:rsid w:val="00BC4BBA"/>
  </w:style>
  <w:style w:customStyle="1" w:styleId="WW-Absatz-Standardschriftart1111" w:type="character">
    <w:name w:val="WW-Absatz-Standardschriftart1111"/>
    <w:rsid w:val="00BC4BBA"/>
  </w:style>
  <w:style w:customStyle="1" w:styleId="WW-Absatz-Standardschriftart11111" w:type="character">
    <w:name w:val="WW-Absatz-Standardschriftart11111"/>
    <w:rsid w:val="00BC4BBA"/>
  </w:style>
  <w:style w:customStyle="1" w:styleId="WW-Absatz-Standardschriftart111111" w:type="character">
    <w:name w:val="WW-Absatz-Standardschriftart111111"/>
    <w:rsid w:val="00BC4BBA"/>
  </w:style>
  <w:style w:customStyle="1" w:styleId="WW-Absatz-Standardschriftart1111111" w:type="character">
    <w:name w:val="WW-Absatz-Standardschriftart1111111"/>
    <w:rsid w:val="00BC4BBA"/>
  </w:style>
  <w:style w:customStyle="1" w:styleId="WW-Absatz-Standardschriftart11111111" w:type="character">
    <w:name w:val="WW-Absatz-Standardschriftart11111111"/>
    <w:rsid w:val="00BC4BBA"/>
  </w:style>
  <w:style w:customStyle="1" w:styleId="WW-Absatz-Standardschriftart111111111" w:type="character">
    <w:name w:val="WW-Absatz-Standardschriftart111111111"/>
    <w:rsid w:val="00BC4BBA"/>
  </w:style>
  <w:style w:customStyle="1" w:styleId="WW-Absatz-Standardschriftart1111111111" w:type="character">
    <w:name w:val="WW-Absatz-Standardschriftart1111111111"/>
    <w:rsid w:val="00BC4BBA"/>
  </w:style>
  <w:style w:customStyle="1" w:styleId="WW-Absatz-Standardschriftart11111111111" w:type="character">
    <w:name w:val="WW-Absatz-Standardschriftart11111111111"/>
    <w:rsid w:val="00BC4BBA"/>
  </w:style>
  <w:style w:customStyle="1" w:styleId="WW-Absatz-Standardschriftart111111111111" w:type="character">
    <w:name w:val="WW-Absatz-Standardschriftart111111111111"/>
    <w:rsid w:val="00BC4BBA"/>
  </w:style>
  <w:style w:customStyle="1" w:styleId="WW-Absatz-Standardschriftart1111111111111" w:type="character">
    <w:name w:val="WW-Absatz-Standardschriftart1111111111111"/>
    <w:rsid w:val="00BC4BBA"/>
  </w:style>
  <w:style w:customStyle="1" w:styleId="WW-Absatz-Standardschriftart11111111111111" w:type="character">
    <w:name w:val="WW-Absatz-Standardschriftart11111111111111"/>
    <w:rsid w:val="00BC4BBA"/>
  </w:style>
  <w:style w:customStyle="1" w:styleId="WW-Absatz-Standardschriftart111111111111111" w:type="character">
    <w:name w:val="WW-Absatz-Standardschriftart111111111111111"/>
    <w:rsid w:val="00BC4BBA"/>
  </w:style>
  <w:style w:customStyle="1" w:styleId="WW-Absatz-Standardschriftart1111111111111111" w:type="character">
    <w:name w:val="WW-Absatz-Standardschriftart1111111111111111"/>
    <w:rsid w:val="00BC4BBA"/>
  </w:style>
  <w:style w:customStyle="1" w:styleId="WW-Absatz-Standardschriftart11111111111111111" w:type="character">
    <w:name w:val="WW-Absatz-Standardschriftart11111111111111111"/>
    <w:rsid w:val="00BC4BBA"/>
  </w:style>
  <w:style w:customStyle="1" w:styleId="WW-Absatz-Standardschriftart111111111111111111" w:type="character">
    <w:name w:val="WW-Absatz-Standardschriftart111111111111111111"/>
    <w:rsid w:val="00BC4BBA"/>
  </w:style>
  <w:style w:customStyle="1" w:styleId="WW-Absatz-Standardschriftart1111111111111111111" w:type="character">
    <w:name w:val="WW-Absatz-Standardschriftart1111111111111111111"/>
    <w:rsid w:val="00BC4BBA"/>
  </w:style>
  <w:style w:customStyle="1" w:styleId="WW-Absatz-Standardschriftart11111111111111111111" w:type="character">
    <w:name w:val="WW-Absatz-Standardschriftart11111111111111111111"/>
    <w:rsid w:val="00BC4BBA"/>
  </w:style>
  <w:style w:customStyle="1" w:styleId="WW-Absatz-Standardschriftart111111111111111111111" w:type="character">
    <w:name w:val="WW-Absatz-Standardschriftart111111111111111111111"/>
    <w:rsid w:val="00BC4BBA"/>
  </w:style>
  <w:style w:customStyle="1" w:styleId="WW-Absatz-Standardschriftart1111111111111111111111" w:type="character">
    <w:name w:val="WW-Absatz-Standardschriftart1111111111111111111111"/>
    <w:rsid w:val="00BC4BBA"/>
  </w:style>
  <w:style w:customStyle="1" w:styleId="WW-Absatz-Standardschriftart11111111111111111111111" w:type="character">
    <w:name w:val="WW-Absatz-Standardschriftart11111111111111111111111"/>
    <w:rsid w:val="00BC4BBA"/>
  </w:style>
  <w:style w:customStyle="1" w:styleId="WW-Absatz-Standardschriftart111111111111111111111111" w:type="character">
    <w:name w:val="WW-Absatz-Standardschriftart111111111111111111111111"/>
    <w:rsid w:val="00BC4BBA"/>
  </w:style>
  <w:style w:customStyle="1" w:styleId="WW-Absatz-Standardschriftart1111111111111111111111111" w:type="character">
    <w:name w:val="WW-Absatz-Standardschriftart1111111111111111111111111"/>
    <w:rsid w:val="00BC4BBA"/>
  </w:style>
  <w:style w:customStyle="1" w:styleId="WW-Absatz-Standardschriftart11111111111111111111111111" w:type="character">
    <w:name w:val="WW-Absatz-Standardschriftart11111111111111111111111111"/>
    <w:rsid w:val="00BC4BBA"/>
  </w:style>
  <w:style w:customStyle="1" w:styleId="WW8Num1z0" w:type="character">
    <w:name w:val="WW8Num1z0"/>
    <w:rsid w:val="00BC4BBA"/>
    <w:rPr>
      <w:rFonts w:ascii="Times New Roman" w:hAnsi="Times New Roman"/>
    </w:rPr>
  </w:style>
  <w:style w:customStyle="1" w:styleId="WW8Num3z0" w:type="character">
    <w:name w:val="WW8Num3z0"/>
    <w:rsid w:val="00BC4BBA"/>
    <w:rPr>
      <w:rFonts w:ascii="Times New Roman" w:hAnsi="Times New Roman"/>
    </w:rPr>
  </w:style>
  <w:style w:customStyle="1" w:styleId="Zadanifontodlomka1" w:type="character">
    <w:name w:val="Zadani font odlomka1"/>
    <w:rsid w:val="00BC4BBA"/>
  </w:style>
  <w:style w:customStyle="1" w:styleId="Naslov10" w:type="paragraph">
    <w:name w:val="Naslov1"/>
    <w:basedOn w:val="Normal"/>
    <w:next w:val="Tijeloteksta"/>
    <w:rsid w:val="00BC4BBA"/>
    <w:pPr>
      <w:keepNext/>
      <w:suppressAutoHyphens/>
      <w:spacing w:after="120" w:before="240"/>
    </w:pPr>
    <w:rPr>
      <w:rFonts w:ascii="Arial" w:cs="Mangal" w:eastAsia="SimSun" w:hAnsi="Arial"/>
      <w:sz w:val="28"/>
      <w:szCs w:val="28"/>
      <w:lang w:eastAsia="ar-SA"/>
    </w:rPr>
  </w:style>
  <w:style w:styleId="Popis" w:type="paragraph">
    <w:name w:val="List"/>
    <w:basedOn w:val="Tijeloteksta"/>
    <w:rsid w:val="00BC4BBA"/>
    <w:pPr>
      <w:suppressAutoHyphens/>
    </w:pPr>
    <w:rPr>
      <w:rFonts w:ascii="HR-Arial" w:cs="Mangal" w:hAnsi="HR-Arial"/>
      <w:sz w:val="22"/>
      <w:szCs w:val="20"/>
      <w:lang w:eastAsia="ar-SA"/>
    </w:rPr>
  </w:style>
  <w:style w:customStyle="1" w:styleId="Opis" w:type="paragraph">
    <w:name w:val="Opis"/>
    <w:basedOn w:val="Normal"/>
    <w:rsid w:val="00BC4BBA"/>
    <w:pPr>
      <w:suppressLineNumbers/>
      <w:suppressAutoHyphens/>
      <w:spacing w:after="120" w:before="120"/>
    </w:pPr>
    <w:rPr>
      <w:rFonts w:ascii="HR-Arial" w:cs="Mangal" w:hAnsi="HR-Arial"/>
      <w:i/>
      <w:iCs/>
      <w:lang w:eastAsia="ar-SA"/>
    </w:rPr>
  </w:style>
  <w:style w:customStyle="1" w:styleId="Indeks" w:type="paragraph">
    <w:name w:val="Indeks"/>
    <w:basedOn w:val="Normal"/>
    <w:rsid w:val="00BC4BBA"/>
    <w:pPr>
      <w:suppressLineNumbers/>
      <w:suppressAutoHyphens/>
    </w:pPr>
    <w:rPr>
      <w:rFonts w:ascii="HR-Arial" w:cs="Mangal" w:hAnsi="HR-Arial"/>
      <w:sz w:val="22"/>
      <w:szCs w:val="20"/>
      <w:lang w:eastAsia="ar-SA"/>
    </w:rPr>
  </w:style>
  <w:style w:customStyle="1" w:styleId="Tekstbalonia1" w:type="paragraph">
    <w:name w:val="Tekst balončića1"/>
    <w:basedOn w:val="Normal"/>
    <w:rsid w:val="00BC4BBA"/>
    <w:pPr>
      <w:suppressAutoHyphens/>
    </w:pPr>
    <w:rPr>
      <w:rFonts w:ascii="Tahoma" w:cs="Tahoma" w:hAnsi="Tahoma"/>
      <w:sz w:val="16"/>
      <w:szCs w:val="16"/>
      <w:lang w:eastAsia="ar-SA"/>
    </w:rPr>
  </w:style>
  <w:style w:customStyle="1" w:styleId="Sadrajitablice" w:type="paragraph">
    <w:name w:val="Sadržaji tablice"/>
    <w:basedOn w:val="Normal"/>
    <w:rsid w:val="00BC4BBA"/>
    <w:pPr>
      <w:suppressLineNumbers/>
      <w:suppressAutoHyphens/>
    </w:pPr>
    <w:rPr>
      <w:rFonts w:ascii="HR-Arial" w:hAnsi="HR-Arial"/>
      <w:sz w:val="22"/>
      <w:szCs w:val="20"/>
      <w:lang w:eastAsia="ar-SA"/>
    </w:rPr>
  </w:style>
  <w:style w:customStyle="1" w:styleId="Naslovtablice" w:type="paragraph">
    <w:name w:val="Naslov tablice"/>
    <w:basedOn w:val="Sadrajitablice"/>
    <w:rsid w:val="00BC4BBA"/>
    <w:pPr>
      <w:jc w:val="center"/>
    </w:pPr>
    <w:rPr>
      <w:b/>
      <w:bCs/>
    </w:rPr>
  </w:style>
  <w:style w:styleId="Neupadljivareferenca" w:type="character">
    <w:name w:val="Subtle Reference"/>
    <w:uiPriority w:val="31"/>
    <w:qFormat/>
    <w:rsid w:val="00BC4BBA"/>
    <w:rPr>
      <w:smallCaps/>
      <w:color w:val="5A5A5A"/>
    </w:rPr>
  </w:style>
  <w:style w:customStyle="1" w:styleId="Standard" w:type="paragraph">
    <w:name w:val="Standard"/>
    <w:rsid w:val="00BC4BBA"/>
    <w:pPr>
      <w:widowControl w:val="0"/>
      <w:suppressAutoHyphens/>
      <w:autoSpaceDN w:val="0"/>
    </w:pPr>
    <w:rPr>
      <w:rFonts w:cs="Arial" w:eastAsia="SimSun"/>
      <w:kern w:val="3"/>
      <w:sz w:val="24"/>
      <w:szCs w:val="24"/>
      <w:lang w:bidi="hi-IN" w:eastAsia="zh-CN"/>
    </w:rPr>
  </w:style>
  <w:style w:customStyle="1" w:styleId="Srednjareetka21" w:type="paragraph">
    <w:name w:val="Srednja rešetka 21"/>
    <w:uiPriority w:val="99"/>
    <w:qFormat/>
    <w:rsid w:val="00F83F97"/>
    <w:rPr>
      <w:rFonts w:ascii="Courier New" w:hAnsi="Courier New"/>
      <w:sz w:val="24"/>
      <w:lang w:eastAsia="en-US" w:val="en-GB"/>
    </w:rPr>
  </w:style>
  <w:style w:customStyle="1" w:styleId="apple-tab-span" w:type="character">
    <w:name w:val="apple-tab-span"/>
    <w:basedOn w:val="Zadanifontodlomka"/>
    <w:rsid w:val="003422A5"/>
  </w:style>
  <w:style w:styleId="Tekstrezerviranogmjesta" w:type="character">
    <w:name w:val="Placeholder Text"/>
    <w:basedOn w:val="Zadanifontodlomka"/>
    <w:uiPriority w:val="99"/>
    <w:semiHidden/>
    <w:rsid w:val="00080C1F"/>
    <w:rPr>
      <w:color w:val="808080"/>
      <w:bdr w:color="auto" w:space="0" w:sz="0" w:val="none"/>
      <w:shd w:color="auto" w:fill="auto" w:val="clear"/>
    </w:rPr>
  </w:style>
  <w:style w:customStyle="1" w:styleId="eSPISCCParagraphDefaultFont" w:type="character">
    <w:name w:val="eSPIS_CC_Paragraph Default Font"/>
    <w:basedOn w:val="Zadanifontodlomka"/>
    <w:rsid w:val="00080C1F"/>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080C1F"/>
    <w:rPr>
      <w:rFonts w:ascii="Sylfaen" w:hAnsi="Sylfaen"/>
      <w:b/>
      <w:bdr w:color="auto" w:space="0" w:sz="0" w:val="none"/>
      <w:shd w:color="auto" w:fill="FFFFCC" w:val="clear"/>
      <w:lang w:val="hr-HR"/>
    </w:rPr>
  </w:style>
  <w:style w:customStyle="1" w:styleId="PozadinaSvijetloCrvena" w:type="character">
    <w:name w:val="Pozadina_SvijetloCrvena"/>
    <w:basedOn w:val="eSPISCCParagraphDefaultFont"/>
    <w:rsid w:val="00080C1F"/>
    <w:rPr>
      <w:rFonts w:ascii="Sylfaen" w:cs="Times New Roman" w:hAnsi="Sylfaen"/>
      <w:b w:val="0"/>
      <w:sz w:val="24"/>
      <w:bdr w:color="auto" w:space="0" w:sz="0" w:val="none"/>
      <w:shd w:color="auto" w:fill="FFCCCC" w:val="clear"/>
      <w:lang w:val="hr-HR"/>
    </w:rPr>
  </w:style>
  <w:style w:customStyle="1" w:styleId="PozadinaSvijetloZelena" w:type="character">
    <w:name w:val="Pozadina_SvijetloZelena"/>
    <w:basedOn w:val="eSPISCCParagraphDefaultFont"/>
    <w:rsid w:val="00080C1F"/>
    <w:rPr>
      <w:rFonts w:ascii="Sylfaen" w:cs="Times New Roman" w:hAnsi="Sylfaen"/>
      <w:b w:val="0"/>
      <w:sz w:val="24"/>
      <w:bdr w:color="auto" w:space="0" w:sz="0" w:val="none"/>
      <w:shd w:color="auto" w:fill="CCFFCC" w:val="clear"/>
      <w:lang w:val="hr-HR"/>
    </w:rPr>
  </w:style>
  <w:style w:styleId="Istaknuto" w:type="character">
    <w:name w:val="Emphasis"/>
    <w:basedOn w:val="Zadanifontodlomka"/>
    <w:uiPriority w:val="20"/>
    <w:qFormat/>
    <w:rsid w:val="00A9290F"/>
    <w:rPr>
      <w:i/>
      <w:iCs/>
    </w:rPr>
  </w:style>
  <w:style w:styleId="Naglaeno" w:type="character">
    <w:name w:val="Strong"/>
    <w:basedOn w:val="Zadanifontodlomka"/>
    <w:uiPriority w:val="22"/>
    <w:qFormat/>
    <w:rsid w:val="00A9290F"/>
    <w:rPr>
      <w:b/>
      <w:bCs/>
    </w:rPr>
  </w:style>
</w:styles>
</file>

<file path=word/webSettings.xml><?xml version="1.0" encoding="utf-8"?>
<w:webSetting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297502">
      <w:bodyDiv w:val="true"/>
      <w:marLeft w:val="0"/>
      <w:marRight w:val="0"/>
      <w:marTop w:val="0"/>
      <w:marBottom w:val="0"/>
      <w:divBdr>
        <w:top w:val="none" w:color="auto" w:sz="0" w:space="0"/>
        <w:left w:val="none" w:color="auto" w:sz="0" w:space="0"/>
        <w:bottom w:val="none" w:color="auto" w:sz="0" w:space="0"/>
        <w:right w:val="none" w:color="auto" w:sz="0" w:space="0"/>
      </w:divBdr>
    </w:div>
    <w:div w:id="16741090">
      <w:bodyDiv w:val="true"/>
      <w:marLeft w:val="0"/>
      <w:marRight w:val="0"/>
      <w:marTop w:val="0"/>
      <w:marBottom w:val="0"/>
      <w:divBdr>
        <w:top w:val="none" w:color="auto" w:sz="0" w:space="0"/>
        <w:left w:val="none" w:color="auto" w:sz="0" w:space="0"/>
        <w:bottom w:val="none" w:color="auto" w:sz="0" w:space="0"/>
        <w:right w:val="none" w:color="auto" w:sz="0" w:space="0"/>
      </w:divBdr>
    </w:div>
    <w:div w:id="94330252">
      <w:bodyDiv w:val="true"/>
      <w:marLeft w:val="0"/>
      <w:marRight w:val="0"/>
      <w:marTop w:val="0"/>
      <w:marBottom w:val="0"/>
      <w:divBdr>
        <w:top w:val="none" w:color="auto" w:sz="0" w:space="0"/>
        <w:left w:val="none" w:color="auto" w:sz="0" w:space="0"/>
        <w:bottom w:val="none" w:color="auto" w:sz="0" w:space="0"/>
        <w:right w:val="none" w:color="auto" w:sz="0" w:space="0"/>
      </w:divBdr>
    </w:div>
    <w:div w:id="99032796">
      <w:bodyDiv w:val="true"/>
      <w:marLeft w:val="0"/>
      <w:marRight w:val="0"/>
      <w:marTop w:val="0"/>
      <w:marBottom w:val="0"/>
      <w:divBdr>
        <w:top w:val="none" w:color="auto" w:sz="0" w:space="0"/>
        <w:left w:val="none" w:color="auto" w:sz="0" w:space="0"/>
        <w:bottom w:val="none" w:color="auto" w:sz="0" w:space="0"/>
        <w:right w:val="none" w:color="auto" w:sz="0" w:space="0"/>
      </w:divBdr>
    </w:div>
    <w:div w:id="147988829">
      <w:bodyDiv w:val="true"/>
      <w:marLeft w:val="0"/>
      <w:marRight w:val="0"/>
      <w:marTop w:val="0"/>
      <w:marBottom w:val="0"/>
      <w:divBdr>
        <w:top w:val="none" w:color="auto" w:sz="0" w:space="0"/>
        <w:left w:val="none" w:color="auto" w:sz="0" w:space="0"/>
        <w:bottom w:val="none" w:color="auto" w:sz="0" w:space="0"/>
        <w:right w:val="none" w:color="auto" w:sz="0" w:space="0"/>
      </w:divBdr>
    </w:div>
    <w:div w:id="159663380">
      <w:bodyDiv w:val="true"/>
      <w:marLeft w:val="0"/>
      <w:marRight w:val="0"/>
      <w:marTop w:val="0"/>
      <w:marBottom w:val="0"/>
      <w:divBdr>
        <w:top w:val="none" w:color="auto" w:sz="0" w:space="0"/>
        <w:left w:val="none" w:color="auto" w:sz="0" w:space="0"/>
        <w:bottom w:val="none" w:color="auto" w:sz="0" w:space="0"/>
        <w:right w:val="none" w:color="auto" w:sz="0" w:space="0"/>
      </w:divBdr>
    </w:div>
    <w:div w:id="179855784">
      <w:bodyDiv w:val="true"/>
      <w:marLeft w:val="0"/>
      <w:marRight w:val="0"/>
      <w:marTop w:val="0"/>
      <w:marBottom w:val="0"/>
      <w:divBdr>
        <w:top w:val="none" w:color="auto" w:sz="0" w:space="0"/>
        <w:left w:val="none" w:color="auto" w:sz="0" w:space="0"/>
        <w:bottom w:val="none" w:color="auto" w:sz="0" w:space="0"/>
        <w:right w:val="none" w:color="auto" w:sz="0" w:space="0"/>
      </w:divBdr>
    </w:div>
    <w:div w:id="194587594">
      <w:bodyDiv w:val="true"/>
      <w:marLeft w:val="0"/>
      <w:marRight w:val="0"/>
      <w:marTop w:val="0"/>
      <w:marBottom w:val="0"/>
      <w:divBdr>
        <w:top w:val="none" w:color="auto" w:sz="0" w:space="0"/>
        <w:left w:val="none" w:color="auto" w:sz="0" w:space="0"/>
        <w:bottom w:val="none" w:color="auto" w:sz="0" w:space="0"/>
        <w:right w:val="none" w:color="auto" w:sz="0" w:space="0"/>
      </w:divBdr>
    </w:div>
    <w:div w:id="204996819">
      <w:bodyDiv w:val="true"/>
      <w:marLeft w:val="0"/>
      <w:marRight w:val="0"/>
      <w:marTop w:val="0"/>
      <w:marBottom w:val="0"/>
      <w:divBdr>
        <w:top w:val="none" w:color="auto" w:sz="0" w:space="0"/>
        <w:left w:val="none" w:color="auto" w:sz="0" w:space="0"/>
        <w:bottom w:val="none" w:color="auto" w:sz="0" w:space="0"/>
        <w:right w:val="none" w:color="auto" w:sz="0" w:space="0"/>
      </w:divBdr>
    </w:div>
    <w:div w:id="214465022">
      <w:bodyDiv w:val="true"/>
      <w:marLeft w:val="0"/>
      <w:marRight w:val="0"/>
      <w:marTop w:val="0"/>
      <w:marBottom w:val="0"/>
      <w:divBdr>
        <w:top w:val="none" w:color="auto" w:sz="0" w:space="0"/>
        <w:left w:val="none" w:color="auto" w:sz="0" w:space="0"/>
        <w:bottom w:val="none" w:color="auto" w:sz="0" w:space="0"/>
        <w:right w:val="none" w:color="auto" w:sz="0" w:space="0"/>
      </w:divBdr>
    </w:div>
    <w:div w:id="247007991">
      <w:bodyDiv w:val="true"/>
      <w:marLeft w:val="0"/>
      <w:marRight w:val="0"/>
      <w:marTop w:val="0"/>
      <w:marBottom w:val="0"/>
      <w:divBdr>
        <w:top w:val="none" w:color="auto" w:sz="0" w:space="0"/>
        <w:left w:val="none" w:color="auto" w:sz="0" w:space="0"/>
        <w:bottom w:val="none" w:color="auto" w:sz="0" w:space="0"/>
        <w:right w:val="none" w:color="auto" w:sz="0" w:space="0"/>
      </w:divBdr>
    </w:div>
    <w:div w:id="281570127">
      <w:bodyDiv w:val="true"/>
      <w:marLeft w:val="0"/>
      <w:marRight w:val="0"/>
      <w:marTop w:val="0"/>
      <w:marBottom w:val="0"/>
      <w:divBdr>
        <w:top w:val="none" w:color="auto" w:sz="0" w:space="0"/>
        <w:left w:val="none" w:color="auto" w:sz="0" w:space="0"/>
        <w:bottom w:val="none" w:color="auto" w:sz="0" w:space="0"/>
        <w:right w:val="none" w:color="auto" w:sz="0" w:space="0"/>
      </w:divBdr>
    </w:div>
    <w:div w:id="319701104">
      <w:bodyDiv w:val="true"/>
      <w:marLeft w:val="0"/>
      <w:marRight w:val="0"/>
      <w:marTop w:val="0"/>
      <w:marBottom w:val="0"/>
      <w:divBdr>
        <w:top w:val="none" w:color="auto" w:sz="0" w:space="0"/>
        <w:left w:val="none" w:color="auto" w:sz="0" w:space="0"/>
        <w:bottom w:val="none" w:color="auto" w:sz="0" w:space="0"/>
        <w:right w:val="none" w:color="auto" w:sz="0" w:space="0"/>
      </w:divBdr>
    </w:div>
    <w:div w:id="335427114">
      <w:bodyDiv w:val="true"/>
      <w:marLeft w:val="0"/>
      <w:marRight w:val="0"/>
      <w:marTop w:val="0"/>
      <w:marBottom w:val="0"/>
      <w:divBdr>
        <w:top w:val="none" w:color="auto" w:sz="0" w:space="0"/>
        <w:left w:val="none" w:color="auto" w:sz="0" w:space="0"/>
        <w:bottom w:val="none" w:color="auto" w:sz="0" w:space="0"/>
        <w:right w:val="none" w:color="auto" w:sz="0" w:space="0"/>
      </w:divBdr>
    </w:div>
    <w:div w:id="372392930">
      <w:bodyDiv w:val="true"/>
      <w:marLeft w:val="0"/>
      <w:marRight w:val="0"/>
      <w:marTop w:val="0"/>
      <w:marBottom w:val="0"/>
      <w:divBdr>
        <w:top w:val="none" w:color="auto" w:sz="0" w:space="0"/>
        <w:left w:val="none" w:color="auto" w:sz="0" w:space="0"/>
        <w:bottom w:val="none" w:color="auto" w:sz="0" w:space="0"/>
        <w:right w:val="none" w:color="auto" w:sz="0" w:space="0"/>
      </w:divBdr>
    </w:div>
    <w:div w:id="435373818">
      <w:bodyDiv w:val="true"/>
      <w:marLeft w:val="0"/>
      <w:marRight w:val="0"/>
      <w:marTop w:val="0"/>
      <w:marBottom w:val="0"/>
      <w:divBdr>
        <w:top w:val="none" w:color="auto" w:sz="0" w:space="0"/>
        <w:left w:val="none" w:color="auto" w:sz="0" w:space="0"/>
        <w:bottom w:val="none" w:color="auto" w:sz="0" w:space="0"/>
        <w:right w:val="none" w:color="auto" w:sz="0" w:space="0"/>
      </w:divBdr>
    </w:div>
    <w:div w:id="437990009">
      <w:bodyDiv w:val="true"/>
      <w:marLeft w:val="0"/>
      <w:marRight w:val="0"/>
      <w:marTop w:val="0"/>
      <w:marBottom w:val="0"/>
      <w:divBdr>
        <w:top w:val="none" w:color="auto" w:sz="0" w:space="0"/>
        <w:left w:val="none" w:color="auto" w:sz="0" w:space="0"/>
        <w:bottom w:val="none" w:color="auto" w:sz="0" w:space="0"/>
        <w:right w:val="none" w:color="auto" w:sz="0" w:space="0"/>
      </w:divBdr>
    </w:div>
    <w:div w:id="445925423">
      <w:bodyDiv w:val="true"/>
      <w:marLeft w:val="0"/>
      <w:marRight w:val="0"/>
      <w:marTop w:val="0"/>
      <w:marBottom w:val="0"/>
      <w:divBdr>
        <w:top w:val="none" w:color="auto" w:sz="0" w:space="0"/>
        <w:left w:val="none" w:color="auto" w:sz="0" w:space="0"/>
        <w:bottom w:val="none" w:color="auto" w:sz="0" w:space="0"/>
        <w:right w:val="none" w:color="auto" w:sz="0" w:space="0"/>
      </w:divBdr>
    </w:div>
    <w:div w:id="459960473">
      <w:bodyDiv w:val="true"/>
      <w:marLeft w:val="0"/>
      <w:marRight w:val="0"/>
      <w:marTop w:val="0"/>
      <w:marBottom w:val="0"/>
      <w:divBdr>
        <w:top w:val="none" w:color="auto" w:sz="0" w:space="0"/>
        <w:left w:val="none" w:color="auto" w:sz="0" w:space="0"/>
        <w:bottom w:val="none" w:color="auto" w:sz="0" w:space="0"/>
        <w:right w:val="none" w:color="auto" w:sz="0" w:space="0"/>
      </w:divBdr>
    </w:div>
    <w:div w:id="510997959">
      <w:bodyDiv w:val="true"/>
      <w:marLeft w:val="0"/>
      <w:marRight w:val="0"/>
      <w:marTop w:val="0"/>
      <w:marBottom w:val="0"/>
      <w:divBdr>
        <w:top w:val="none" w:color="auto" w:sz="0" w:space="0"/>
        <w:left w:val="none" w:color="auto" w:sz="0" w:space="0"/>
        <w:bottom w:val="none" w:color="auto" w:sz="0" w:space="0"/>
        <w:right w:val="none" w:color="auto" w:sz="0" w:space="0"/>
      </w:divBdr>
    </w:div>
    <w:div w:id="524975733">
      <w:bodyDiv w:val="true"/>
      <w:marLeft w:val="0"/>
      <w:marRight w:val="0"/>
      <w:marTop w:val="0"/>
      <w:marBottom w:val="0"/>
      <w:divBdr>
        <w:top w:val="none" w:color="auto" w:sz="0" w:space="0"/>
        <w:left w:val="none" w:color="auto" w:sz="0" w:space="0"/>
        <w:bottom w:val="none" w:color="auto" w:sz="0" w:space="0"/>
        <w:right w:val="none" w:color="auto" w:sz="0" w:space="0"/>
      </w:divBdr>
    </w:div>
    <w:div w:id="545533416">
      <w:bodyDiv w:val="true"/>
      <w:marLeft w:val="0"/>
      <w:marRight w:val="0"/>
      <w:marTop w:val="0"/>
      <w:marBottom w:val="0"/>
      <w:divBdr>
        <w:top w:val="none" w:color="auto" w:sz="0" w:space="0"/>
        <w:left w:val="none" w:color="auto" w:sz="0" w:space="0"/>
        <w:bottom w:val="none" w:color="auto" w:sz="0" w:space="0"/>
        <w:right w:val="none" w:color="auto" w:sz="0" w:space="0"/>
      </w:divBdr>
    </w:div>
    <w:div w:id="582185555">
      <w:bodyDiv w:val="true"/>
      <w:marLeft w:val="0"/>
      <w:marRight w:val="0"/>
      <w:marTop w:val="0"/>
      <w:marBottom w:val="0"/>
      <w:divBdr>
        <w:top w:val="none" w:color="auto" w:sz="0" w:space="0"/>
        <w:left w:val="none" w:color="auto" w:sz="0" w:space="0"/>
        <w:bottom w:val="none" w:color="auto" w:sz="0" w:space="0"/>
        <w:right w:val="none" w:color="auto" w:sz="0" w:space="0"/>
      </w:divBdr>
    </w:div>
    <w:div w:id="650058272">
      <w:bodyDiv w:val="true"/>
      <w:marLeft w:val="0"/>
      <w:marRight w:val="0"/>
      <w:marTop w:val="0"/>
      <w:marBottom w:val="0"/>
      <w:divBdr>
        <w:top w:val="none" w:color="auto" w:sz="0" w:space="0"/>
        <w:left w:val="none" w:color="auto" w:sz="0" w:space="0"/>
        <w:bottom w:val="none" w:color="auto" w:sz="0" w:space="0"/>
        <w:right w:val="none" w:color="auto" w:sz="0" w:space="0"/>
      </w:divBdr>
    </w:div>
    <w:div w:id="653801326">
      <w:bodyDiv w:val="true"/>
      <w:marLeft w:val="0"/>
      <w:marRight w:val="0"/>
      <w:marTop w:val="0"/>
      <w:marBottom w:val="0"/>
      <w:divBdr>
        <w:top w:val="none" w:color="auto" w:sz="0" w:space="0"/>
        <w:left w:val="none" w:color="auto" w:sz="0" w:space="0"/>
        <w:bottom w:val="none" w:color="auto" w:sz="0" w:space="0"/>
        <w:right w:val="none" w:color="auto" w:sz="0" w:space="0"/>
      </w:divBdr>
    </w:div>
    <w:div w:id="678505636">
      <w:bodyDiv w:val="true"/>
      <w:marLeft w:val="0"/>
      <w:marRight w:val="0"/>
      <w:marTop w:val="0"/>
      <w:marBottom w:val="0"/>
      <w:divBdr>
        <w:top w:val="none" w:color="auto" w:sz="0" w:space="0"/>
        <w:left w:val="none" w:color="auto" w:sz="0" w:space="0"/>
        <w:bottom w:val="none" w:color="auto" w:sz="0" w:space="0"/>
        <w:right w:val="none" w:color="auto" w:sz="0" w:space="0"/>
      </w:divBdr>
    </w:div>
    <w:div w:id="695666225">
      <w:bodyDiv w:val="true"/>
      <w:marLeft w:val="0"/>
      <w:marRight w:val="0"/>
      <w:marTop w:val="0"/>
      <w:marBottom w:val="0"/>
      <w:divBdr>
        <w:top w:val="none" w:color="auto" w:sz="0" w:space="0"/>
        <w:left w:val="none" w:color="auto" w:sz="0" w:space="0"/>
        <w:bottom w:val="none" w:color="auto" w:sz="0" w:space="0"/>
        <w:right w:val="none" w:color="auto" w:sz="0" w:space="0"/>
      </w:divBdr>
    </w:div>
    <w:div w:id="697193960">
      <w:bodyDiv w:val="true"/>
      <w:marLeft w:val="0"/>
      <w:marRight w:val="0"/>
      <w:marTop w:val="0"/>
      <w:marBottom w:val="0"/>
      <w:divBdr>
        <w:top w:val="none" w:color="auto" w:sz="0" w:space="0"/>
        <w:left w:val="none" w:color="auto" w:sz="0" w:space="0"/>
        <w:bottom w:val="none" w:color="auto" w:sz="0" w:space="0"/>
        <w:right w:val="none" w:color="auto" w:sz="0" w:space="0"/>
      </w:divBdr>
    </w:div>
    <w:div w:id="707876687">
      <w:bodyDiv w:val="true"/>
      <w:marLeft w:val="0"/>
      <w:marRight w:val="0"/>
      <w:marTop w:val="0"/>
      <w:marBottom w:val="0"/>
      <w:divBdr>
        <w:top w:val="none" w:color="auto" w:sz="0" w:space="0"/>
        <w:left w:val="none" w:color="auto" w:sz="0" w:space="0"/>
        <w:bottom w:val="none" w:color="auto" w:sz="0" w:space="0"/>
        <w:right w:val="none" w:color="auto" w:sz="0" w:space="0"/>
      </w:divBdr>
    </w:div>
    <w:div w:id="720665815">
      <w:bodyDiv w:val="true"/>
      <w:marLeft w:val="0"/>
      <w:marRight w:val="0"/>
      <w:marTop w:val="0"/>
      <w:marBottom w:val="0"/>
      <w:divBdr>
        <w:top w:val="none" w:color="auto" w:sz="0" w:space="0"/>
        <w:left w:val="none" w:color="auto" w:sz="0" w:space="0"/>
        <w:bottom w:val="none" w:color="auto" w:sz="0" w:space="0"/>
        <w:right w:val="none" w:color="auto" w:sz="0" w:space="0"/>
      </w:divBdr>
    </w:div>
    <w:div w:id="731275953">
      <w:bodyDiv w:val="true"/>
      <w:marLeft w:val="0"/>
      <w:marRight w:val="0"/>
      <w:marTop w:val="0"/>
      <w:marBottom w:val="0"/>
      <w:divBdr>
        <w:top w:val="none" w:color="auto" w:sz="0" w:space="0"/>
        <w:left w:val="none" w:color="auto" w:sz="0" w:space="0"/>
        <w:bottom w:val="none" w:color="auto" w:sz="0" w:space="0"/>
        <w:right w:val="none" w:color="auto" w:sz="0" w:space="0"/>
      </w:divBdr>
    </w:div>
    <w:div w:id="756898475">
      <w:bodyDiv w:val="true"/>
      <w:marLeft w:val="0"/>
      <w:marRight w:val="0"/>
      <w:marTop w:val="0"/>
      <w:marBottom w:val="0"/>
      <w:divBdr>
        <w:top w:val="none" w:color="auto" w:sz="0" w:space="0"/>
        <w:left w:val="none" w:color="auto" w:sz="0" w:space="0"/>
        <w:bottom w:val="none" w:color="auto" w:sz="0" w:space="0"/>
        <w:right w:val="none" w:color="auto" w:sz="0" w:space="0"/>
      </w:divBdr>
    </w:div>
    <w:div w:id="867722267">
      <w:bodyDiv w:val="true"/>
      <w:marLeft w:val="0"/>
      <w:marRight w:val="0"/>
      <w:marTop w:val="0"/>
      <w:marBottom w:val="0"/>
      <w:divBdr>
        <w:top w:val="none" w:color="auto" w:sz="0" w:space="0"/>
        <w:left w:val="none" w:color="auto" w:sz="0" w:space="0"/>
        <w:bottom w:val="none" w:color="auto" w:sz="0" w:space="0"/>
        <w:right w:val="none" w:color="auto" w:sz="0" w:space="0"/>
      </w:divBdr>
    </w:div>
    <w:div w:id="886836293">
      <w:bodyDiv w:val="true"/>
      <w:marLeft w:val="0"/>
      <w:marRight w:val="0"/>
      <w:marTop w:val="0"/>
      <w:marBottom w:val="0"/>
      <w:divBdr>
        <w:top w:val="none" w:color="auto" w:sz="0" w:space="0"/>
        <w:left w:val="none" w:color="auto" w:sz="0" w:space="0"/>
        <w:bottom w:val="none" w:color="auto" w:sz="0" w:space="0"/>
        <w:right w:val="none" w:color="auto" w:sz="0" w:space="0"/>
      </w:divBdr>
    </w:div>
    <w:div w:id="898399195">
      <w:bodyDiv w:val="true"/>
      <w:marLeft w:val="0"/>
      <w:marRight w:val="0"/>
      <w:marTop w:val="0"/>
      <w:marBottom w:val="0"/>
      <w:divBdr>
        <w:top w:val="none" w:color="auto" w:sz="0" w:space="0"/>
        <w:left w:val="none" w:color="auto" w:sz="0" w:space="0"/>
        <w:bottom w:val="none" w:color="auto" w:sz="0" w:space="0"/>
        <w:right w:val="none" w:color="auto" w:sz="0" w:space="0"/>
      </w:divBdr>
    </w:div>
    <w:div w:id="902369605">
      <w:bodyDiv w:val="true"/>
      <w:marLeft w:val="0"/>
      <w:marRight w:val="0"/>
      <w:marTop w:val="0"/>
      <w:marBottom w:val="0"/>
      <w:divBdr>
        <w:top w:val="none" w:color="auto" w:sz="0" w:space="0"/>
        <w:left w:val="none" w:color="auto" w:sz="0" w:space="0"/>
        <w:bottom w:val="none" w:color="auto" w:sz="0" w:space="0"/>
        <w:right w:val="none" w:color="auto" w:sz="0" w:space="0"/>
      </w:divBdr>
    </w:div>
    <w:div w:id="1059791500">
      <w:bodyDiv w:val="true"/>
      <w:marLeft w:val="0"/>
      <w:marRight w:val="0"/>
      <w:marTop w:val="0"/>
      <w:marBottom w:val="0"/>
      <w:divBdr>
        <w:top w:val="none" w:color="auto" w:sz="0" w:space="0"/>
        <w:left w:val="none" w:color="auto" w:sz="0" w:space="0"/>
        <w:bottom w:val="none" w:color="auto" w:sz="0" w:space="0"/>
        <w:right w:val="none" w:color="auto" w:sz="0" w:space="0"/>
      </w:divBdr>
    </w:div>
    <w:div w:id="1157112070">
      <w:bodyDiv w:val="true"/>
      <w:marLeft w:val="0"/>
      <w:marRight w:val="0"/>
      <w:marTop w:val="0"/>
      <w:marBottom w:val="0"/>
      <w:divBdr>
        <w:top w:val="none" w:color="auto" w:sz="0" w:space="0"/>
        <w:left w:val="none" w:color="auto" w:sz="0" w:space="0"/>
        <w:bottom w:val="none" w:color="auto" w:sz="0" w:space="0"/>
        <w:right w:val="none" w:color="auto" w:sz="0" w:space="0"/>
      </w:divBdr>
    </w:div>
    <w:div w:id="1225212734">
      <w:bodyDiv w:val="true"/>
      <w:marLeft w:val="0"/>
      <w:marRight w:val="0"/>
      <w:marTop w:val="0"/>
      <w:marBottom w:val="0"/>
      <w:divBdr>
        <w:top w:val="none" w:color="auto" w:sz="0" w:space="0"/>
        <w:left w:val="none" w:color="auto" w:sz="0" w:space="0"/>
        <w:bottom w:val="none" w:color="auto" w:sz="0" w:space="0"/>
        <w:right w:val="none" w:color="auto" w:sz="0" w:space="0"/>
      </w:divBdr>
    </w:div>
    <w:div w:id="1308365505">
      <w:bodyDiv w:val="true"/>
      <w:marLeft w:val="0"/>
      <w:marRight w:val="0"/>
      <w:marTop w:val="0"/>
      <w:marBottom w:val="0"/>
      <w:divBdr>
        <w:top w:val="none" w:color="auto" w:sz="0" w:space="0"/>
        <w:left w:val="none" w:color="auto" w:sz="0" w:space="0"/>
        <w:bottom w:val="none" w:color="auto" w:sz="0" w:space="0"/>
        <w:right w:val="none" w:color="auto" w:sz="0" w:space="0"/>
      </w:divBdr>
    </w:div>
    <w:div w:id="1332024675">
      <w:bodyDiv w:val="true"/>
      <w:marLeft w:val="0"/>
      <w:marRight w:val="0"/>
      <w:marTop w:val="0"/>
      <w:marBottom w:val="0"/>
      <w:divBdr>
        <w:top w:val="none" w:color="auto" w:sz="0" w:space="0"/>
        <w:left w:val="none" w:color="auto" w:sz="0" w:space="0"/>
        <w:bottom w:val="none" w:color="auto" w:sz="0" w:space="0"/>
        <w:right w:val="none" w:color="auto" w:sz="0" w:space="0"/>
      </w:divBdr>
    </w:div>
    <w:div w:id="1336686527">
      <w:bodyDiv w:val="true"/>
      <w:marLeft w:val="0"/>
      <w:marRight w:val="0"/>
      <w:marTop w:val="0"/>
      <w:marBottom w:val="0"/>
      <w:divBdr>
        <w:top w:val="none" w:color="auto" w:sz="0" w:space="0"/>
        <w:left w:val="none" w:color="auto" w:sz="0" w:space="0"/>
        <w:bottom w:val="none" w:color="auto" w:sz="0" w:space="0"/>
        <w:right w:val="none" w:color="auto" w:sz="0" w:space="0"/>
      </w:divBdr>
    </w:div>
    <w:div w:id="1347443693">
      <w:bodyDiv w:val="true"/>
      <w:marLeft w:val="0"/>
      <w:marRight w:val="0"/>
      <w:marTop w:val="0"/>
      <w:marBottom w:val="0"/>
      <w:divBdr>
        <w:top w:val="none" w:color="auto" w:sz="0" w:space="0"/>
        <w:left w:val="none" w:color="auto" w:sz="0" w:space="0"/>
        <w:bottom w:val="none" w:color="auto" w:sz="0" w:space="0"/>
        <w:right w:val="none" w:color="auto" w:sz="0" w:space="0"/>
      </w:divBdr>
    </w:div>
    <w:div w:id="1364788760">
      <w:bodyDiv w:val="true"/>
      <w:marLeft w:val="0"/>
      <w:marRight w:val="0"/>
      <w:marTop w:val="0"/>
      <w:marBottom w:val="0"/>
      <w:divBdr>
        <w:top w:val="none" w:color="auto" w:sz="0" w:space="0"/>
        <w:left w:val="none" w:color="auto" w:sz="0" w:space="0"/>
        <w:bottom w:val="none" w:color="auto" w:sz="0" w:space="0"/>
        <w:right w:val="none" w:color="auto" w:sz="0" w:space="0"/>
      </w:divBdr>
    </w:div>
    <w:div w:id="1385255566">
      <w:bodyDiv w:val="true"/>
      <w:marLeft w:val="0"/>
      <w:marRight w:val="0"/>
      <w:marTop w:val="0"/>
      <w:marBottom w:val="0"/>
      <w:divBdr>
        <w:top w:val="none" w:color="auto" w:sz="0" w:space="0"/>
        <w:left w:val="none" w:color="auto" w:sz="0" w:space="0"/>
        <w:bottom w:val="none" w:color="auto" w:sz="0" w:space="0"/>
        <w:right w:val="none" w:color="auto" w:sz="0" w:space="0"/>
      </w:divBdr>
    </w:div>
    <w:div w:id="1402366673">
      <w:bodyDiv w:val="true"/>
      <w:marLeft w:val="0"/>
      <w:marRight w:val="0"/>
      <w:marTop w:val="0"/>
      <w:marBottom w:val="0"/>
      <w:divBdr>
        <w:top w:val="none" w:color="auto" w:sz="0" w:space="0"/>
        <w:left w:val="none" w:color="auto" w:sz="0" w:space="0"/>
        <w:bottom w:val="none" w:color="auto" w:sz="0" w:space="0"/>
        <w:right w:val="none" w:color="auto" w:sz="0" w:space="0"/>
      </w:divBdr>
    </w:div>
    <w:div w:id="1404790170">
      <w:bodyDiv w:val="true"/>
      <w:marLeft w:val="0"/>
      <w:marRight w:val="0"/>
      <w:marTop w:val="0"/>
      <w:marBottom w:val="0"/>
      <w:divBdr>
        <w:top w:val="none" w:color="auto" w:sz="0" w:space="0"/>
        <w:left w:val="none" w:color="auto" w:sz="0" w:space="0"/>
        <w:bottom w:val="none" w:color="auto" w:sz="0" w:space="0"/>
        <w:right w:val="none" w:color="auto" w:sz="0" w:space="0"/>
      </w:divBdr>
    </w:div>
    <w:div w:id="1423799820">
      <w:bodyDiv w:val="true"/>
      <w:marLeft w:val="0"/>
      <w:marRight w:val="0"/>
      <w:marTop w:val="0"/>
      <w:marBottom w:val="0"/>
      <w:divBdr>
        <w:top w:val="none" w:color="auto" w:sz="0" w:space="0"/>
        <w:left w:val="none" w:color="auto" w:sz="0" w:space="0"/>
        <w:bottom w:val="none" w:color="auto" w:sz="0" w:space="0"/>
        <w:right w:val="none" w:color="auto" w:sz="0" w:space="0"/>
      </w:divBdr>
    </w:div>
    <w:div w:id="1424303048">
      <w:bodyDiv w:val="true"/>
      <w:marLeft w:val="0"/>
      <w:marRight w:val="0"/>
      <w:marTop w:val="0"/>
      <w:marBottom w:val="0"/>
      <w:divBdr>
        <w:top w:val="none" w:color="auto" w:sz="0" w:space="0"/>
        <w:left w:val="none" w:color="auto" w:sz="0" w:space="0"/>
        <w:bottom w:val="none" w:color="auto" w:sz="0" w:space="0"/>
        <w:right w:val="none" w:color="auto" w:sz="0" w:space="0"/>
      </w:divBdr>
    </w:div>
    <w:div w:id="1453552214">
      <w:bodyDiv w:val="true"/>
      <w:marLeft w:val="0"/>
      <w:marRight w:val="0"/>
      <w:marTop w:val="0"/>
      <w:marBottom w:val="0"/>
      <w:divBdr>
        <w:top w:val="none" w:color="auto" w:sz="0" w:space="0"/>
        <w:left w:val="none" w:color="auto" w:sz="0" w:space="0"/>
        <w:bottom w:val="none" w:color="auto" w:sz="0" w:space="0"/>
        <w:right w:val="none" w:color="auto" w:sz="0" w:space="0"/>
      </w:divBdr>
    </w:div>
    <w:div w:id="1542477867">
      <w:bodyDiv w:val="true"/>
      <w:marLeft w:val="0"/>
      <w:marRight w:val="0"/>
      <w:marTop w:val="0"/>
      <w:marBottom w:val="0"/>
      <w:divBdr>
        <w:top w:val="none" w:color="auto" w:sz="0" w:space="0"/>
        <w:left w:val="none" w:color="auto" w:sz="0" w:space="0"/>
        <w:bottom w:val="none" w:color="auto" w:sz="0" w:space="0"/>
        <w:right w:val="none" w:color="auto" w:sz="0" w:space="0"/>
      </w:divBdr>
    </w:div>
    <w:div w:id="1544053653">
      <w:bodyDiv w:val="true"/>
      <w:marLeft w:val="0"/>
      <w:marRight w:val="0"/>
      <w:marTop w:val="0"/>
      <w:marBottom w:val="0"/>
      <w:divBdr>
        <w:top w:val="none" w:color="auto" w:sz="0" w:space="0"/>
        <w:left w:val="none" w:color="auto" w:sz="0" w:space="0"/>
        <w:bottom w:val="none" w:color="auto" w:sz="0" w:space="0"/>
        <w:right w:val="none" w:color="auto" w:sz="0" w:space="0"/>
      </w:divBdr>
    </w:div>
    <w:div w:id="1546520924">
      <w:bodyDiv w:val="true"/>
      <w:marLeft w:val="0"/>
      <w:marRight w:val="0"/>
      <w:marTop w:val="0"/>
      <w:marBottom w:val="0"/>
      <w:divBdr>
        <w:top w:val="none" w:color="auto" w:sz="0" w:space="0"/>
        <w:left w:val="none" w:color="auto" w:sz="0" w:space="0"/>
        <w:bottom w:val="none" w:color="auto" w:sz="0" w:space="0"/>
        <w:right w:val="none" w:color="auto" w:sz="0" w:space="0"/>
      </w:divBdr>
    </w:div>
    <w:div w:id="1562518340">
      <w:bodyDiv w:val="true"/>
      <w:marLeft w:val="0"/>
      <w:marRight w:val="0"/>
      <w:marTop w:val="0"/>
      <w:marBottom w:val="0"/>
      <w:divBdr>
        <w:top w:val="none" w:color="auto" w:sz="0" w:space="0"/>
        <w:left w:val="none" w:color="auto" w:sz="0" w:space="0"/>
        <w:bottom w:val="none" w:color="auto" w:sz="0" w:space="0"/>
        <w:right w:val="none" w:color="auto" w:sz="0" w:space="0"/>
      </w:divBdr>
    </w:div>
    <w:div w:id="1590191856">
      <w:bodyDiv w:val="true"/>
      <w:marLeft w:val="0"/>
      <w:marRight w:val="0"/>
      <w:marTop w:val="0"/>
      <w:marBottom w:val="0"/>
      <w:divBdr>
        <w:top w:val="none" w:color="auto" w:sz="0" w:space="0"/>
        <w:left w:val="none" w:color="auto" w:sz="0" w:space="0"/>
        <w:bottom w:val="none" w:color="auto" w:sz="0" w:space="0"/>
        <w:right w:val="none" w:color="auto" w:sz="0" w:space="0"/>
      </w:divBdr>
    </w:div>
    <w:div w:id="1616869170">
      <w:bodyDiv w:val="true"/>
      <w:marLeft w:val="0"/>
      <w:marRight w:val="0"/>
      <w:marTop w:val="0"/>
      <w:marBottom w:val="0"/>
      <w:divBdr>
        <w:top w:val="none" w:color="auto" w:sz="0" w:space="0"/>
        <w:left w:val="none" w:color="auto" w:sz="0" w:space="0"/>
        <w:bottom w:val="none" w:color="auto" w:sz="0" w:space="0"/>
        <w:right w:val="none" w:color="auto" w:sz="0" w:space="0"/>
      </w:divBdr>
    </w:div>
    <w:div w:id="1647275354">
      <w:bodyDiv w:val="true"/>
      <w:marLeft w:val="0"/>
      <w:marRight w:val="0"/>
      <w:marTop w:val="0"/>
      <w:marBottom w:val="0"/>
      <w:divBdr>
        <w:top w:val="none" w:color="auto" w:sz="0" w:space="0"/>
        <w:left w:val="none" w:color="auto" w:sz="0" w:space="0"/>
        <w:bottom w:val="none" w:color="auto" w:sz="0" w:space="0"/>
        <w:right w:val="none" w:color="auto" w:sz="0" w:space="0"/>
      </w:divBdr>
    </w:div>
    <w:div w:id="1658337664">
      <w:bodyDiv w:val="true"/>
      <w:marLeft w:val="0"/>
      <w:marRight w:val="0"/>
      <w:marTop w:val="0"/>
      <w:marBottom w:val="0"/>
      <w:divBdr>
        <w:top w:val="none" w:color="auto" w:sz="0" w:space="0"/>
        <w:left w:val="none" w:color="auto" w:sz="0" w:space="0"/>
        <w:bottom w:val="none" w:color="auto" w:sz="0" w:space="0"/>
        <w:right w:val="none" w:color="auto" w:sz="0" w:space="0"/>
      </w:divBdr>
    </w:div>
    <w:div w:id="1694762053">
      <w:bodyDiv w:val="true"/>
      <w:marLeft w:val="0"/>
      <w:marRight w:val="0"/>
      <w:marTop w:val="0"/>
      <w:marBottom w:val="0"/>
      <w:divBdr>
        <w:top w:val="none" w:color="auto" w:sz="0" w:space="0"/>
        <w:left w:val="none" w:color="auto" w:sz="0" w:space="0"/>
        <w:bottom w:val="none" w:color="auto" w:sz="0" w:space="0"/>
        <w:right w:val="none" w:color="auto" w:sz="0" w:space="0"/>
      </w:divBdr>
    </w:div>
    <w:div w:id="1697344187">
      <w:bodyDiv w:val="true"/>
      <w:marLeft w:val="0"/>
      <w:marRight w:val="0"/>
      <w:marTop w:val="0"/>
      <w:marBottom w:val="0"/>
      <w:divBdr>
        <w:top w:val="none" w:color="auto" w:sz="0" w:space="0"/>
        <w:left w:val="none" w:color="auto" w:sz="0" w:space="0"/>
        <w:bottom w:val="none" w:color="auto" w:sz="0" w:space="0"/>
        <w:right w:val="none" w:color="auto" w:sz="0" w:space="0"/>
      </w:divBdr>
    </w:div>
    <w:div w:id="1718167323">
      <w:bodyDiv w:val="true"/>
      <w:marLeft w:val="0"/>
      <w:marRight w:val="0"/>
      <w:marTop w:val="0"/>
      <w:marBottom w:val="0"/>
      <w:divBdr>
        <w:top w:val="none" w:color="auto" w:sz="0" w:space="0"/>
        <w:left w:val="none" w:color="auto" w:sz="0" w:space="0"/>
        <w:bottom w:val="none" w:color="auto" w:sz="0" w:space="0"/>
        <w:right w:val="none" w:color="auto" w:sz="0" w:space="0"/>
      </w:divBdr>
    </w:div>
    <w:div w:id="1758747600">
      <w:bodyDiv w:val="true"/>
      <w:marLeft w:val="0"/>
      <w:marRight w:val="0"/>
      <w:marTop w:val="0"/>
      <w:marBottom w:val="0"/>
      <w:divBdr>
        <w:top w:val="none" w:color="auto" w:sz="0" w:space="0"/>
        <w:left w:val="none" w:color="auto" w:sz="0" w:space="0"/>
        <w:bottom w:val="none" w:color="auto" w:sz="0" w:space="0"/>
        <w:right w:val="none" w:color="auto" w:sz="0" w:space="0"/>
      </w:divBdr>
    </w:div>
    <w:div w:id="1765372153">
      <w:bodyDiv w:val="true"/>
      <w:marLeft w:val="0"/>
      <w:marRight w:val="0"/>
      <w:marTop w:val="0"/>
      <w:marBottom w:val="0"/>
      <w:divBdr>
        <w:top w:val="none" w:color="auto" w:sz="0" w:space="0"/>
        <w:left w:val="none" w:color="auto" w:sz="0" w:space="0"/>
        <w:bottom w:val="none" w:color="auto" w:sz="0" w:space="0"/>
        <w:right w:val="none" w:color="auto" w:sz="0" w:space="0"/>
      </w:divBdr>
    </w:div>
    <w:div w:id="1776442644">
      <w:bodyDiv w:val="true"/>
      <w:marLeft w:val="0"/>
      <w:marRight w:val="0"/>
      <w:marTop w:val="0"/>
      <w:marBottom w:val="0"/>
      <w:divBdr>
        <w:top w:val="none" w:color="auto" w:sz="0" w:space="0"/>
        <w:left w:val="none" w:color="auto" w:sz="0" w:space="0"/>
        <w:bottom w:val="none" w:color="auto" w:sz="0" w:space="0"/>
        <w:right w:val="none" w:color="auto" w:sz="0" w:space="0"/>
      </w:divBdr>
    </w:div>
    <w:div w:id="1781875546">
      <w:bodyDiv w:val="true"/>
      <w:marLeft w:val="0"/>
      <w:marRight w:val="0"/>
      <w:marTop w:val="0"/>
      <w:marBottom w:val="0"/>
      <w:divBdr>
        <w:top w:val="none" w:color="auto" w:sz="0" w:space="0"/>
        <w:left w:val="none" w:color="auto" w:sz="0" w:space="0"/>
        <w:bottom w:val="none" w:color="auto" w:sz="0" w:space="0"/>
        <w:right w:val="none" w:color="auto" w:sz="0" w:space="0"/>
      </w:divBdr>
    </w:div>
    <w:div w:id="1787848445">
      <w:bodyDiv w:val="true"/>
      <w:marLeft w:val="0"/>
      <w:marRight w:val="0"/>
      <w:marTop w:val="0"/>
      <w:marBottom w:val="0"/>
      <w:divBdr>
        <w:top w:val="none" w:color="auto" w:sz="0" w:space="0"/>
        <w:left w:val="none" w:color="auto" w:sz="0" w:space="0"/>
        <w:bottom w:val="none" w:color="auto" w:sz="0" w:space="0"/>
        <w:right w:val="none" w:color="auto" w:sz="0" w:space="0"/>
      </w:divBdr>
    </w:div>
    <w:div w:id="1800567117">
      <w:bodyDiv w:val="true"/>
      <w:marLeft w:val="0"/>
      <w:marRight w:val="0"/>
      <w:marTop w:val="0"/>
      <w:marBottom w:val="0"/>
      <w:divBdr>
        <w:top w:val="none" w:color="auto" w:sz="0" w:space="0"/>
        <w:left w:val="none" w:color="auto" w:sz="0" w:space="0"/>
        <w:bottom w:val="none" w:color="auto" w:sz="0" w:space="0"/>
        <w:right w:val="none" w:color="auto" w:sz="0" w:space="0"/>
      </w:divBdr>
    </w:div>
    <w:div w:id="1827546737">
      <w:bodyDiv w:val="true"/>
      <w:marLeft w:val="0"/>
      <w:marRight w:val="0"/>
      <w:marTop w:val="0"/>
      <w:marBottom w:val="0"/>
      <w:divBdr>
        <w:top w:val="none" w:color="auto" w:sz="0" w:space="0"/>
        <w:left w:val="none" w:color="auto" w:sz="0" w:space="0"/>
        <w:bottom w:val="none" w:color="auto" w:sz="0" w:space="0"/>
        <w:right w:val="none" w:color="auto" w:sz="0" w:space="0"/>
      </w:divBdr>
    </w:div>
    <w:div w:id="1828396033">
      <w:bodyDiv w:val="true"/>
      <w:marLeft w:val="0"/>
      <w:marRight w:val="0"/>
      <w:marTop w:val="0"/>
      <w:marBottom w:val="0"/>
      <w:divBdr>
        <w:top w:val="none" w:color="auto" w:sz="0" w:space="0"/>
        <w:left w:val="none" w:color="auto" w:sz="0" w:space="0"/>
        <w:bottom w:val="none" w:color="auto" w:sz="0" w:space="0"/>
        <w:right w:val="none" w:color="auto" w:sz="0" w:space="0"/>
      </w:divBdr>
    </w:div>
    <w:div w:id="1846939536">
      <w:bodyDiv w:val="true"/>
      <w:marLeft w:val="0"/>
      <w:marRight w:val="0"/>
      <w:marTop w:val="0"/>
      <w:marBottom w:val="0"/>
      <w:divBdr>
        <w:top w:val="none" w:color="auto" w:sz="0" w:space="0"/>
        <w:left w:val="none" w:color="auto" w:sz="0" w:space="0"/>
        <w:bottom w:val="none" w:color="auto" w:sz="0" w:space="0"/>
        <w:right w:val="none" w:color="auto" w:sz="0" w:space="0"/>
      </w:divBdr>
    </w:div>
    <w:div w:id="1866140098">
      <w:bodyDiv w:val="true"/>
      <w:marLeft w:val="0"/>
      <w:marRight w:val="0"/>
      <w:marTop w:val="0"/>
      <w:marBottom w:val="0"/>
      <w:divBdr>
        <w:top w:val="none" w:color="auto" w:sz="0" w:space="0"/>
        <w:left w:val="none" w:color="auto" w:sz="0" w:space="0"/>
        <w:bottom w:val="none" w:color="auto" w:sz="0" w:space="0"/>
        <w:right w:val="none" w:color="auto" w:sz="0" w:space="0"/>
      </w:divBdr>
    </w:div>
    <w:div w:id="1874071743">
      <w:bodyDiv w:val="true"/>
      <w:marLeft w:val="0"/>
      <w:marRight w:val="0"/>
      <w:marTop w:val="0"/>
      <w:marBottom w:val="0"/>
      <w:divBdr>
        <w:top w:val="none" w:color="auto" w:sz="0" w:space="0"/>
        <w:left w:val="none" w:color="auto" w:sz="0" w:space="0"/>
        <w:bottom w:val="none" w:color="auto" w:sz="0" w:space="0"/>
        <w:right w:val="none" w:color="auto" w:sz="0" w:space="0"/>
      </w:divBdr>
    </w:div>
    <w:div w:id="1884825842">
      <w:bodyDiv w:val="true"/>
      <w:marLeft w:val="0"/>
      <w:marRight w:val="0"/>
      <w:marTop w:val="0"/>
      <w:marBottom w:val="0"/>
      <w:divBdr>
        <w:top w:val="none" w:color="auto" w:sz="0" w:space="0"/>
        <w:left w:val="none" w:color="auto" w:sz="0" w:space="0"/>
        <w:bottom w:val="none" w:color="auto" w:sz="0" w:space="0"/>
        <w:right w:val="none" w:color="auto" w:sz="0" w:space="0"/>
      </w:divBdr>
    </w:div>
    <w:div w:id="1884950174">
      <w:bodyDiv w:val="true"/>
      <w:marLeft w:val="0"/>
      <w:marRight w:val="0"/>
      <w:marTop w:val="0"/>
      <w:marBottom w:val="0"/>
      <w:divBdr>
        <w:top w:val="none" w:color="auto" w:sz="0" w:space="0"/>
        <w:left w:val="none" w:color="auto" w:sz="0" w:space="0"/>
        <w:bottom w:val="none" w:color="auto" w:sz="0" w:space="0"/>
        <w:right w:val="none" w:color="auto" w:sz="0" w:space="0"/>
      </w:divBdr>
    </w:div>
    <w:div w:id="1966109603">
      <w:bodyDiv w:val="true"/>
      <w:marLeft w:val="0"/>
      <w:marRight w:val="0"/>
      <w:marTop w:val="0"/>
      <w:marBottom w:val="0"/>
      <w:divBdr>
        <w:top w:val="none" w:color="auto" w:sz="0" w:space="0"/>
        <w:left w:val="none" w:color="auto" w:sz="0" w:space="0"/>
        <w:bottom w:val="none" w:color="auto" w:sz="0" w:space="0"/>
        <w:right w:val="none" w:color="auto" w:sz="0" w:space="0"/>
      </w:divBdr>
    </w:div>
    <w:div w:id="1980957805">
      <w:bodyDiv w:val="true"/>
      <w:marLeft w:val="0"/>
      <w:marRight w:val="0"/>
      <w:marTop w:val="0"/>
      <w:marBottom w:val="0"/>
      <w:divBdr>
        <w:top w:val="none" w:color="auto" w:sz="0" w:space="0"/>
        <w:left w:val="none" w:color="auto" w:sz="0" w:space="0"/>
        <w:bottom w:val="none" w:color="auto" w:sz="0" w:space="0"/>
        <w:right w:val="none" w:color="auto" w:sz="0" w:space="0"/>
      </w:divBdr>
    </w:div>
    <w:div w:id="1985894270">
      <w:bodyDiv w:val="true"/>
      <w:marLeft w:val="0"/>
      <w:marRight w:val="0"/>
      <w:marTop w:val="0"/>
      <w:marBottom w:val="0"/>
      <w:divBdr>
        <w:top w:val="none" w:color="auto" w:sz="0" w:space="0"/>
        <w:left w:val="none" w:color="auto" w:sz="0" w:space="0"/>
        <w:bottom w:val="none" w:color="auto" w:sz="0" w:space="0"/>
        <w:right w:val="none" w:color="auto" w:sz="0" w:space="0"/>
      </w:divBdr>
    </w:div>
    <w:div w:id="2022269450">
      <w:bodyDiv w:val="true"/>
      <w:marLeft w:val="0"/>
      <w:marRight w:val="0"/>
      <w:marTop w:val="0"/>
      <w:marBottom w:val="0"/>
      <w:divBdr>
        <w:top w:val="none" w:color="auto" w:sz="0" w:space="0"/>
        <w:left w:val="none" w:color="auto" w:sz="0" w:space="0"/>
        <w:bottom w:val="none" w:color="auto" w:sz="0" w:space="0"/>
        <w:right w:val="none" w:color="auto" w:sz="0" w:space="0"/>
      </w:divBdr>
    </w:div>
    <w:div w:id="2023319576">
      <w:bodyDiv w:val="true"/>
      <w:marLeft w:val="0"/>
      <w:marRight w:val="0"/>
      <w:marTop w:val="0"/>
      <w:marBottom w:val="0"/>
      <w:divBdr>
        <w:top w:val="none" w:color="auto" w:sz="0" w:space="0"/>
        <w:left w:val="none" w:color="auto" w:sz="0" w:space="0"/>
        <w:bottom w:val="none" w:color="auto" w:sz="0" w:space="0"/>
        <w:right w:val="none" w:color="auto" w:sz="0" w:space="0"/>
      </w:divBdr>
    </w:div>
    <w:div w:id="2041012542">
      <w:bodyDiv w:val="true"/>
      <w:marLeft w:val="0"/>
      <w:marRight w:val="0"/>
      <w:marTop w:val="0"/>
      <w:marBottom w:val="0"/>
      <w:divBdr>
        <w:top w:val="none" w:color="auto" w:sz="0" w:space="0"/>
        <w:left w:val="none" w:color="auto" w:sz="0" w:space="0"/>
        <w:bottom w:val="none" w:color="auto" w:sz="0" w:space="0"/>
        <w:right w:val="none" w:color="auto" w:sz="0" w:space="0"/>
      </w:divBdr>
    </w:div>
    <w:div w:id="2055231270">
      <w:bodyDiv w:val="true"/>
      <w:marLeft w:val="0"/>
      <w:marRight w:val="0"/>
      <w:marTop w:val="0"/>
      <w:marBottom w:val="0"/>
      <w:divBdr>
        <w:top w:val="none" w:color="auto" w:sz="0" w:space="0"/>
        <w:left w:val="none" w:color="auto" w:sz="0" w:space="0"/>
        <w:bottom w:val="none" w:color="auto" w:sz="0" w:space="0"/>
        <w:right w:val="none" w:color="auto" w:sz="0" w:space="0"/>
      </w:divBdr>
    </w:div>
    <w:div w:id="2103331652">
      <w:bodyDiv w:val="true"/>
      <w:marLeft w:val="0"/>
      <w:marRight w:val="0"/>
      <w:marTop w:val="0"/>
      <w:marBottom w:val="0"/>
      <w:divBdr>
        <w:top w:val="none" w:color="auto" w:sz="0" w:space="0"/>
        <w:left w:val="none" w:color="auto" w:sz="0" w:space="0"/>
        <w:bottom w:val="none" w:color="auto" w:sz="0" w:space="0"/>
        <w:right w:val="none" w:color="auto" w:sz="0" w:space="0"/>
      </w:divBdr>
    </w:div>
    <w:div w:id="2119597142">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Mode="External" Target="http://posl.br" Type="http://schemas.openxmlformats.org/officeDocument/2006/relationships/hyperlink" Id="rId13"/><Relationship Target="footer1.xml" Type="http://schemas.openxmlformats.org/officeDocument/2006/relationships/footer" Id="rId18"/><Relationship Target="numbering.xml" Type="http://schemas.openxmlformats.org/officeDocument/2006/relationships/numbering" Id="rId3"/><Relationship Target="webSettings.xml" Type="http://schemas.openxmlformats.org/officeDocument/2006/relationships/webSettings" Id="rId7"/><Relationship TargetMode="External" Target="http://posl.br" Type="http://schemas.openxmlformats.org/officeDocument/2006/relationships/hyperlink" Id="rId12"/><Relationship TargetMode="External" Target="http://www.agrokor.hr/" Type="http://schemas.openxmlformats.org/officeDocument/2006/relationships/hyperlink" Id="rId17"/><Relationship Target="../customXml/item2.xml" Type="http://schemas.openxmlformats.org/officeDocument/2006/relationships/customXml" Id="rId2"/><Relationship TargetMode="External" Target="http://www.agrokor.hr/" Type="http://schemas.openxmlformats.org/officeDocument/2006/relationships/hyperlink" Id="rId16"/><Relationship Target="theme/theme1.xml" Type="http://schemas.openxmlformats.org/officeDocument/2006/relationships/theme" Id="rId20"/><Relationship Target="../customXml/item1.xml" Type="http://schemas.openxmlformats.org/officeDocument/2006/relationships/customXml" Id="rId1"/><Relationship Target="settings.xml" Type="http://schemas.openxmlformats.org/officeDocument/2006/relationships/settings" Id="rId6"/><Relationship TargetMode="External" Target="http://posl.br" Type="http://schemas.openxmlformats.org/officeDocument/2006/relationships/hyperlink" Id="rId11"/><Relationship Target="stylesWithEffects.xml" Type="http://schemas.microsoft.com/office/2007/relationships/stylesWithEffects" Id="rId5"/><Relationship TargetMode="External" Target="http://posl.br/" Type="http://schemas.openxmlformats.org/officeDocument/2006/relationships/hyperlink" Id="rId15"/><Relationship TargetMode="External" Target="mailto:ivankovic@odvjetnica-ivankovic.hr" Type="http://schemas.openxmlformats.org/officeDocument/2006/relationships/hyperlink" Id="rId10"/><Relationship Target="fontTable.xml" Type="http://schemas.openxmlformats.org/officeDocument/2006/relationships/fontTable" Id="rId19"/><Relationship Target="styles.xml" Type="http://schemas.openxmlformats.org/officeDocument/2006/relationships/styles" Id="rId4"/><Relationship Target="endnotes.xml" Type="http://schemas.openxmlformats.org/officeDocument/2006/relationships/endnotes" Id="rId9"/><Relationship TargetMode="External" Target="http://nagodba.agrokor.hr/" Type="http://schemas.openxmlformats.org/officeDocument/2006/relationships/hyperlink"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533FDCC-1B7F-4E83-BFFD-E3314267A4E4}">
  <ds:schemaRefs>
    <ds:schemaRef ds:uri="http://schemas.openxmlformats.org/wordprocessingml/2006/main"/>
    <ds:schemaRef ds:uri="http://schemas.openxmlformats.org/officeDocument/2006/relationships"/>
    <ds:schemaRef ds:uri="http://schemas.openxmlformats.org/officeDocument/2006/math"/>
    <ds:schemaRef ds:uri="http://schemas.openxmlformats.org/schemaLibrary/2006/main"/>
    <ds:schemaRef ds:uri="http://schemas.microsoft.com/office/word/2012/wordml"/>
    <ds:schemaRef ds:uri="http://schemas.microsoft.com/office/word/2010/wordml"/>
    <ds:schemaRef ds:uri="http://schemas.openxmlformats.org/markup-compatibility/2006"/>
    <ds:schemaRef ds:uri="http://schemas.openxmlformats.org/drawingml/2006/wordprocessingDrawing"/>
    <ds:schemaRef ds:uri="http://schemas.openxmlformats.org/drawingml/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17</properties:Pages>
  <properties:Words>6184</properties:Words>
  <properties:Characters>35378</properties:Characters>
  <properties:Lines>726</properties:Lines>
  <properties:Paragraphs>229</properties:Paragraphs>
  <properties:TotalTime>2</properties:TotalTime>
  <properties:ScaleCrop>false</properties:ScaleCrop>
  <properties:HeadingPairs>
    <vt:vector baseType="variant" size="4">
      <vt:variant>
        <vt:lpstr>Title</vt:lpstr>
      </vt:variant>
      <vt:variant>
        <vt:i4>1</vt:i4>
      </vt:variant>
      <vt:variant>
        <vt:lpstr>Naslov</vt:lpstr>
      </vt:variant>
      <vt:variant>
        <vt:i4>1</vt:i4>
      </vt:variant>
    </vt:vector>
  </properties:HeadingPairs>
  <properties:TitlesOfParts>
    <vt:vector baseType="lpstr" size="2">
      <vt:lpstr>Predloženi stečajni dužnik</vt:lpstr>
      <vt:lpstr>Predloženi stečajni dužnik</vt:lpstr>
    </vt:vector>
  </properties:TitlesOfParts>
  <properties:LinksUpToDate>false</properties:LinksUpToDate>
  <properties:CharactersWithSpaces>41741</properties:CharactersWithSpaces>
  <properties:SharedDoc>false</properties:SharedDoc>
  <properties:HLinks>
    <vt:vector baseType="variant" size="12">
      <vt:variant>
        <vt:i4>6160459</vt:i4>
      </vt:variant>
      <vt:variant>
        <vt:i4>3</vt:i4>
      </vt:variant>
      <vt:variant>
        <vt:i4>0</vt:i4>
      </vt:variant>
      <vt:variant>
        <vt:i4>5</vt:i4>
      </vt:variant>
      <vt:variant>
        <vt:lpwstr>http://zk.ul.br/</vt:lpwstr>
      </vt:variant>
      <vt:variant>
        <vt:lpwstr/>
      </vt:variant>
      <vt:variant>
        <vt:i4>655480</vt:i4>
      </vt:variant>
      <vt:variant>
        <vt:i4>0</vt:i4>
      </vt:variant>
      <vt:variant>
        <vt:i4>0</vt:i4>
      </vt:variant>
      <vt:variant>
        <vt:i4>5</vt:i4>
      </vt:variant>
      <vt:variant>
        <vt:lpwstr>mailto:ivankovic@odvjetnica-ivankovic.hr</vt:lpwstr>
      </vt:variant>
      <vt:variant>
        <vt:lpwstr/>
      </vt:variant>
    </vt:vector>
  </properties:HLinks>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2019-12-09T12:14:00Z</dcterms:created>
  <dc:creator>Korisnik</dc:creator>
  <cp:lastModifiedBy>Renata Klokočki</cp:lastModifiedBy>
  <cp:lastPrinted>2019-12-06T18:00:00Z</cp:lastPrinted>
  <dcterms:modified xmlns:xsi="http://www.w3.org/2001/XMLSchema-instance" xsi:type="dcterms:W3CDTF">2019-12-09T12:29:00Z</dcterms:modified>
  <cp:revision>4</cp:revision>
  <dc:title>Predloženi stečajni dužnik</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St-83/1999-372 / Podnesak - Izvješće stečajnog upravitelja (Izvješće-GLUMINA_BANKA.docx)</vt:lpwstr>
  </prop:property>
  <prop:property fmtid="{D5CDD505-2E9C-101B-9397-08002B2CF9AE}" pid="4" name="CC_coloring">
    <vt:bool>false</vt:bool>
  </prop:property>
  <prop:property fmtid="{D5CDD505-2E9C-101B-9397-08002B2CF9AE}" pid="5" name="BrojStranica">
    <vt:i4>17</vt:i4>
  </prop:property>
</prop:Properties>
</file>